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D5" w:rsidRPr="00880A11" w:rsidRDefault="005C1D9F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Obrazec »</w:t>
      </w:r>
      <w:r w:rsidR="003F65D5" w:rsidRPr="00880A11">
        <w:rPr>
          <w:rFonts w:ascii="Arial" w:hAnsi="Arial" w:cs="Arial"/>
          <w:b/>
          <w:sz w:val="24"/>
          <w:szCs w:val="24"/>
        </w:rPr>
        <w:t xml:space="preserve">INFORMACIJA O GOTOVINSKEM POLOGU ZA </w:t>
      </w:r>
      <w:r w:rsidR="001E6EF7">
        <w:rPr>
          <w:rFonts w:ascii="Arial" w:hAnsi="Arial" w:cs="Arial"/>
          <w:b/>
          <w:sz w:val="24"/>
          <w:szCs w:val="24"/>
        </w:rPr>
        <w:t>SPLOŠNO ZAVAROVANJE V CARINSKIH POSTOPKIH</w:t>
      </w:r>
      <w:r>
        <w:rPr>
          <w:rFonts w:ascii="Arial" w:hAnsi="Arial" w:cs="Arial"/>
          <w:b/>
          <w:sz w:val="24"/>
          <w:szCs w:val="24"/>
        </w:rPr>
        <w:t>«</w:t>
      </w:r>
    </w:p>
    <w:p w:rsidR="003F65D5" w:rsidRDefault="003F65D5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:rsidR="005C1D9F" w:rsidRPr="00880A11" w:rsidRDefault="005C1D9F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:rsidR="006018A1" w:rsidRDefault="002B2B33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Upravo za prihodke</w:t>
      </w:r>
      <w:r w:rsidR="00512864">
        <w:rPr>
          <w:rFonts w:ascii="Arial" w:hAnsi="Arial" w:cs="Arial"/>
        </w:rPr>
        <w:t xml:space="preserve"> Generalnega finančnega urada FU</w:t>
      </w:r>
      <w:r w:rsidR="003F65D5" w:rsidRPr="00880A11">
        <w:rPr>
          <w:rFonts w:ascii="Arial" w:hAnsi="Arial" w:cs="Arial"/>
        </w:rPr>
        <w:t xml:space="preserve">RS </w:t>
      </w:r>
      <w:r w:rsidR="001E6EF7">
        <w:rPr>
          <w:rFonts w:ascii="Arial" w:hAnsi="Arial" w:cs="Arial"/>
        </w:rPr>
        <w:t xml:space="preserve">kot urad zavarovanja </w:t>
      </w:r>
      <w:r w:rsidR="003F65D5" w:rsidRPr="00880A11">
        <w:rPr>
          <w:rFonts w:ascii="Arial" w:hAnsi="Arial" w:cs="Arial"/>
        </w:rPr>
        <w:t>obveščamo, da je</w:t>
      </w:r>
      <w:r w:rsidR="00885A92">
        <w:rPr>
          <w:rFonts w:ascii="Arial" w:hAnsi="Arial" w:cs="Arial"/>
        </w:rPr>
        <w:t xml:space="preserve"> </w:t>
      </w:r>
      <w:r w:rsidR="006018A1">
        <w:rPr>
          <w:rFonts w:ascii="Arial" w:hAnsi="Arial" w:cs="Arial"/>
        </w:rPr>
        <w:t>(</w:t>
      </w:r>
      <w:r w:rsidR="00EB7331" w:rsidRPr="00EB7331">
        <w:rPr>
          <w:rStyle w:val="Konnaopomba-sklic"/>
          <w:rFonts w:ascii="Arial" w:hAnsi="Arial" w:cs="Arial"/>
        </w:rPr>
        <w:endnoteReference w:id="1"/>
      </w:r>
      <w:r w:rsidR="006018A1">
        <w:rPr>
          <w:rFonts w:ascii="Arial" w:hAnsi="Arial" w:cs="Arial"/>
        </w:rPr>
        <w:t>)</w:t>
      </w:r>
      <w:r w:rsidR="00EB7331" w:rsidRPr="00EB7331">
        <w:rPr>
          <w:rFonts w:ascii="Arial" w:hAnsi="Arial" w:cs="Arial"/>
        </w:rPr>
        <w:t xml:space="preserve"> </w:t>
      </w:r>
      <w:r w:rsidR="003F65D5" w:rsidRPr="00EB7331">
        <w:rPr>
          <w:rFonts w:ascii="Arial" w:hAnsi="Arial" w:cs="Arial"/>
        </w:rPr>
        <w:t>.................</w:t>
      </w:r>
      <w:r w:rsidR="00512864" w:rsidRPr="00EB7331">
        <w:rPr>
          <w:rFonts w:ascii="Arial" w:hAnsi="Arial" w:cs="Arial"/>
        </w:rPr>
        <w:t>......................................</w:t>
      </w:r>
      <w:r w:rsidR="003F65D5" w:rsidRPr="00EB7331">
        <w:rPr>
          <w:rFonts w:ascii="Arial" w:hAnsi="Arial" w:cs="Arial"/>
        </w:rPr>
        <w:t>.........</w:t>
      </w:r>
      <w:r w:rsidR="00EB7331">
        <w:rPr>
          <w:rFonts w:ascii="Arial" w:hAnsi="Arial" w:cs="Arial"/>
        </w:rPr>
        <w:t>........</w:t>
      </w:r>
      <w:r w:rsidR="003F65D5" w:rsidRPr="00EB7331">
        <w:rPr>
          <w:rFonts w:ascii="Arial" w:hAnsi="Arial" w:cs="Arial"/>
        </w:rPr>
        <w:t xml:space="preserve">....…… </w:t>
      </w:r>
      <w:r w:rsidR="00EB7331">
        <w:rPr>
          <w:rFonts w:ascii="Arial" w:hAnsi="Arial" w:cs="Arial"/>
        </w:rPr>
        <w:t>dne</w:t>
      </w:r>
      <w:r w:rsidR="00885A92">
        <w:rPr>
          <w:rFonts w:ascii="Arial" w:hAnsi="Arial" w:cs="Arial"/>
        </w:rPr>
        <w:t xml:space="preserve"> </w:t>
      </w:r>
      <w:r w:rsidR="006018A1">
        <w:rPr>
          <w:rFonts w:ascii="Arial" w:hAnsi="Arial" w:cs="Arial"/>
        </w:rPr>
        <w:t>(</w:t>
      </w:r>
      <w:r w:rsidR="00EB7331">
        <w:rPr>
          <w:rStyle w:val="Konnaopomba-sklic"/>
          <w:rFonts w:ascii="Arial" w:hAnsi="Arial" w:cs="Arial"/>
        </w:rPr>
        <w:endnoteReference w:id="2"/>
      </w:r>
      <w:r w:rsidR="006018A1">
        <w:rPr>
          <w:rFonts w:ascii="Arial" w:hAnsi="Arial" w:cs="Arial"/>
        </w:rPr>
        <w:t>)</w:t>
      </w:r>
      <w:r w:rsidR="00EB7331">
        <w:rPr>
          <w:rFonts w:ascii="Arial" w:hAnsi="Arial" w:cs="Arial"/>
        </w:rPr>
        <w:t xml:space="preserve"> .........</w:t>
      </w:r>
      <w:r w:rsidR="00885A92">
        <w:rPr>
          <w:rFonts w:ascii="Arial" w:hAnsi="Arial" w:cs="Arial"/>
        </w:rPr>
        <w:t>....</w:t>
      </w:r>
      <w:r w:rsidR="003F65D5" w:rsidRPr="00EB7331">
        <w:rPr>
          <w:rFonts w:ascii="Arial" w:hAnsi="Arial" w:cs="Arial"/>
        </w:rPr>
        <w:t>..................</w:t>
      </w:r>
      <w:r w:rsidR="003F65D5" w:rsidRPr="00880A11">
        <w:rPr>
          <w:rFonts w:ascii="Arial" w:hAnsi="Arial" w:cs="Arial"/>
        </w:rPr>
        <w:t xml:space="preserve"> na </w:t>
      </w:r>
      <w:r w:rsidR="003F65D5" w:rsidRPr="00880A11">
        <w:rPr>
          <w:rFonts w:ascii="Arial" w:hAnsi="Arial" w:cs="Arial"/>
          <w:b/>
          <w:color w:val="0070C0"/>
        </w:rPr>
        <w:t xml:space="preserve">podračun </w:t>
      </w:r>
      <w:r w:rsidR="00C53C8A" w:rsidRPr="00880A11">
        <w:rPr>
          <w:rFonts w:ascii="Arial" w:hAnsi="Arial" w:cs="Arial"/>
          <w:b/>
          <w:color w:val="0070C0"/>
        </w:rPr>
        <w:t>»</w:t>
      </w:r>
      <w:r w:rsidR="00512864">
        <w:rPr>
          <w:rFonts w:ascii="Arial" w:hAnsi="Arial" w:cs="Arial"/>
          <w:b/>
          <w:color w:val="0070C0"/>
        </w:rPr>
        <w:t xml:space="preserve">FURS – </w:t>
      </w:r>
      <w:r w:rsidR="009D6CC2">
        <w:rPr>
          <w:rFonts w:ascii="Arial" w:hAnsi="Arial" w:cs="Arial"/>
          <w:b/>
          <w:color w:val="0070C0"/>
        </w:rPr>
        <w:t>depozitni podračun – zavarovanje izpolnitve carinske obveznosti</w:t>
      </w:r>
      <w:r w:rsidR="00C53C8A" w:rsidRPr="00880A11">
        <w:rPr>
          <w:rFonts w:ascii="Arial" w:hAnsi="Arial" w:cs="Arial"/>
          <w:b/>
          <w:color w:val="0070C0"/>
        </w:rPr>
        <w:t xml:space="preserve">« </w:t>
      </w:r>
      <w:r w:rsidR="003F65D5" w:rsidRPr="00880A11">
        <w:rPr>
          <w:rFonts w:ascii="Arial" w:hAnsi="Arial" w:cs="Arial"/>
          <w:b/>
          <w:color w:val="0070C0"/>
        </w:rPr>
        <w:t xml:space="preserve">št. </w:t>
      </w:r>
      <w:r w:rsidR="00D661A0" w:rsidRPr="00880A11">
        <w:rPr>
          <w:rFonts w:ascii="Arial" w:hAnsi="Arial" w:cs="Arial"/>
          <w:b/>
          <w:color w:val="0070C0"/>
        </w:rPr>
        <w:t xml:space="preserve">SI56 0110 0695 5804 170 </w:t>
      </w:r>
      <w:r w:rsidR="00C53C8A" w:rsidRPr="00880A11">
        <w:rPr>
          <w:rFonts w:ascii="Arial" w:hAnsi="Arial" w:cs="Arial"/>
          <w:b/>
          <w:color w:val="0070C0"/>
        </w:rPr>
        <w:t>z referenco prejemnika SI21 DAVČNA ŠT. PLAČNIKA-550100</w:t>
      </w:r>
      <w:r w:rsidR="00C53C8A" w:rsidRPr="00880A11">
        <w:rPr>
          <w:rFonts w:ascii="Arial" w:hAnsi="Arial" w:cs="Arial"/>
        </w:rPr>
        <w:t xml:space="preserve">, </w:t>
      </w:r>
      <w:r w:rsidR="003F65D5" w:rsidRPr="00880A11">
        <w:rPr>
          <w:rFonts w:ascii="Arial" w:hAnsi="Arial" w:cs="Arial"/>
        </w:rPr>
        <w:t xml:space="preserve">plačal gotovinski polog </w:t>
      </w:r>
      <w:r w:rsidR="006018A1">
        <w:rPr>
          <w:rFonts w:ascii="Arial" w:hAnsi="Arial" w:cs="Arial"/>
        </w:rPr>
        <w:t xml:space="preserve">za splošno zavarovanje </w:t>
      </w:r>
      <w:r w:rsidR="003F65D5" w:rsidRPr="00880A11">
        <w:rPr>
          <w:rFonts w:ascii="Arial" w:hAnsi="Arial" w:cs="Arial"/>
        </w:rPr>
        <w:t xml:space="preserve">v </w:t>
      </w:r>
      <w:r w:rsidR="00EB7331">
        <w:rPr>
          <w:rFonts w:ascii="Arial" w:hAnsi="Arial" w:cs="Arial"/>
        </w:rPr>
        <w:t xml:space="preserve">skupnem </w:t>
      </w:r>
      <w:r w:rsidR="003F65D5" w:rsidRPr="00880A11">
        <w:rPr>
          <w:rFonts w:ascii="Arial" w:hAnsi="Arial" w:cs="Arial"/>
        </w:rPr>
        <w:t>znesku .................................. EUR</w:t>
      </w:r>
      <w:r w:rsidR="006018A1">
        <w:rPr>
          <w:rFonts w:ascii="Arial" w:hAnsi="Arial" w:cs="Arial"/>
        </w:rPr>
        <w:t>.</w:t>
      </w:r>
      <w:r w:rsidR="003F65D5" w:rsidRPr="00880A11">
        <w:rPr>
          <w:rFonts w:ascii="Arial" w:hAnsi="Arial" w:cs="Arial"/>
        </w:rPr>
        <w:t xml:space="preserve"> </w:t>
      </w:r>
    </w:p>
    <w:p w:rsidR="006018A1" w:rsidRDefault="006018A1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:rsidR="00AE4B3A" w:rsidRPr="00AE4B3A" w:rsidRDefault="006018A1" w:rsidP="00AE4B3A">
      <w:pPr>
        <w:widowControl w:val="0"/>
        <w:spacing w:before="120" w:after="200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AE4B3A" w:rsidRPr="00AE4B3A">
        <w:rPr>
          <w:rFonts w:ascii="Arial" w:hAnsi="Arial"/>
        </w:rPr>
        <w:t>Podpisani (</w:t>
      </w:r>
      <w:r w:rsidR="00AE4B3A" w:rsidRPr="00AE4B3A">
        <w:rPr>
          <w:rFonts w:ascii="Arial" w:hAnsi="Arial" w:cs="Arial"/>
          <w:vertAlign w:val="superscript"/>
        </w:rPr>
        <w:endnoteReference w:id="3"/>
      </w:r>
      <w:r w:rsidR="00AE4B3A" w:rsidRPr="00AE4B3A">
        <w:rPr>
          <w:rFonts w:ascii="Arial" w:hAnsi="Arial"/>
        </w:rPr>
        <w:t>) ...............…………………………………………… ……...……………………</w:t>
      </w:r>
    </w:p>
    <w:p w:rsidR="00AE4B3A" w:rsidRPr="00AE4B3A" w:rsidRDefault="00AE4B3A" w:rsidP="00AE4B3A">
      <w:pPr>
        <w:widowControl w:val="0"/>
        <w:spacing w:before="120" w:after="200"/>
        <w:rPr>
          <w:rFonts w:ascii="Arial" w:hAnsi="Arial"/>
        </w:rPr>
      </w:pPr>
      <w:r w:rsidRPr="00AE4B3A">
        <w:rPr>
          <w:rFonts w:ascii="Arial" w:hAnsi="Arial"/>
        </w:rPr>
        <w:t>prebivališče v/na (</w:t>
      </w:r>
      <w:r w:rsidRPr="00AE4B3A">
        <w:rPr>
          <w:rFonts w:ascii="Arial" w:hAnsi="Arial" w:cs="Arial"/>
          <w:vertAlign w:val="superscript"/>
        </w:rPr>
        <w:endnoteReference w:id="4"/>
      </w:r>
      <w:r w:rsidRPr="00AE4B3A">
        <w:rPr>
          <w:rFonts w:ascii="Arial" w:hAnsi="Arial"/>
        </w:rPr>
        <w:t>)................……………………………………………………………………</w:t>
      </w:r>
    </w:p>
    <w:p w:rsidR="00AE4B3A" w:rsidRPr="00AE4B3A" w:rsidRDefault="00AE4B3A" w:rsidP="00AE4B3A">
      <w:pPr>
        <w:widowControl w:val="0"/>
        <w:spacing w:before="120" w:after="200"/>
        <w:rPr>
          <w:rFonts w:ascii="Arial" w:hAnsi="Arial"/>
        </w:rPr>
      </w:pPr>
      <w:r w:rsidRPr="00AE4B3A">
        <w:rPr>
          <w:rFonts w:ascii="Arial" w:hAnsi="Arial"/>
        </w:rPr>
        <w:t xml:space="preserve">solidarno in posamično jamči, pri uradu zavarovanja </w:t>
      </w:r>
      <w:r w:rsidRPr="00AE4B3A">
        <w:rPr>
          <w:rFonts w:ascii="Arial" w:hAnsi="Arial"/>
          <w:b/>
        </w:rPr>
        <w:t>Finančna uprava Republike Slovenije, Generalni finančni urad, Šmartinska cesta 55, 1000 Ljubljana</w:t>
      </w:r>
    </w:p>
    <w:p w:rsidR="00AE4B3A" w:rsidRPr="00AE4B3A" w:rsidRDefault="00AE4B3A" w:rsidP="00AE4B3A">
      <w:pPr>
        <w:widowControl w:val="0"/>
        <w:spacing w:before="120" w:after="200"/>
        <w:rPr>
          <w:rFonts w:ascii="Arial" w:hAnsi="Arial"/>
          <w:b/>
        </w:rPr>
      </w:pPr>
      <w:r w:rsidRPr="00AE4B3A">
        <w:rPr>
          <w:rFonts w:ascii="Arial" w:hAnsi="Arial"/>
          <w:b/>
        </w:rPr>
        <w:t>do najvišjega zneska</w:t>
      </w:r>
      <w:r w:rsidRPr="00AE4B3A">
        <w:rPr>
          <w:rFonts w:ascii="Arial" w:hAnsi="Arial"/>
        </w:rPr>
        <w:t>.</w:t>
      </w:r>
      <w:r w:rsidRPr="00AE4B3A">
        <w:rPr>
          <w:rFonts w:ascii="Arial" w:hAnsi="Arial"/>
          <w:b/>
        </w:rPr>
        <w:t>............................................………………………….………………….</w:t>
      </w:r>
    </w:p>
    <w:p w:rsidR="00AE4B3A" w:rsidRPr="008329F4" w:rsidRDefault="00AE4B3A" w:rsidP="00AE4B3A">
      <w:pPr>
        <w:widowControl w:val="0"/>
        <w:spacing w:before="120" w:after="200"/>
        <w:jc w:val="both"/>
        <w:rPr>
          <w:rFonts w:ascii="Arial" w:hAnsi="Arial"/>
        </w:rPr>
      </w:pPr>
      <w:r w:rsidRPr="008329F4">
        <w:rPr>
          <w:rFonts w:ascii="Arial" w:hAnsi="Arial"/>
          <w:b/>
        </w:rPr>
        <w:t xml:space="preserve">v korist </w:t>
      </w:r>
      <w:r w:rsidR="008329F4" w:rsidRPr="008329F4">
        <w:rPr>
          <w:rFonts w:ascii="Arial" w:hAnsi="Arial"/>
          <w:b/>
        </w:rPr>
        <w:t>Republike Slovenije</w:t>
      </w:r>
      <w:r w:rsidRPr="008329F4">
        <w:rPr>
          <w:rFonts w:ascii="Arial" w:hAnsi="Arial"/>
          <w:b/>
        </w:rPr>
        <w:t xml:space="preserve"> </w:t>
      </w:r>
      <w:r w:rsidRPr="008329F4">
        <w:rPr>
          <w:rFonts w:ascii="Arial" w:hAnsi="Arial"/>
        </w:rPr>
        <w:t>(</w:t>
      </w:r>
      <w:r w:rsidRPr="008329F4">
        <w:rPr>
          <w:rFonts w:ascii="Arial" w:hAnsi="Arial"/>
          <w:vertAlign w:val="superscript"/>
        </w:rPr>
        <w:endnoteReference w:id="5"/>
      </w:r>
      <w:r w:rsidRPr="008329F4">
        <w:rPr>
          <w:rFonts w:ascii="Arial" w:hAnsi="Arial"/>
        </w:rPr>
        <w:t>)</w:t>
      </w:r>
    </w:p>
    <w:p w:rsidR="005C1D9F" w:rsidRPr="00AE4B3A" w:rsidRDefault="00AE4B3A" w:rsidP="005C1D9F">
      <w:pPr>
        <w:widowControl w:val="0"/>
        <w:spacing w:before="120" w:after="200"/>
        <w:jc w:val="both"/>
        <w:rPr>
          <w:rFonts w:ascii="Arial" w:hAnsi="Arial"/>
        </w:rPr>
      </w:pPr>
      <w:r w:rsidRPr="00AE4B3A">
        <w:rPr>
          <w:rFonts w:ascii="Arial" w:hAnsi="Arial"/>
        </w:rPr>
        <w:t xml:space="preserve">za vsak znesek, ki ga oseba, ki zagotavlja to zavarovanje </w:t>
      </w:r>
      <w:r w:rsidRPr="00AE4B3A">
        <w:rPr>
          <w:rFonts w:ascii="Arial" w:hAnsi="Arial"/>
          <w:lang w:bidi="sl-SI"/>
        </w:rPr>
        <w:t xml:space="preserve">morda dolguje ali ga bo dolgovala zgoraj navedenim državam za plačilo carine in drugih dajatev </w:t>
      </w:r>
      <w:r w:rsidRPr="00860998">
        <w:rPr>
          <w:rFonts w:ascii="Arial" w:hAnsi="Arial"/>
          <w:lang w:bidi="sl-SI"/>
        </w:rPr>
        <w:t>(</w:t>
      </w:r>
      <w:r w:rsidRPr="00860998">
        <w:rPr>
          <w:rFonts w:ascii="Arial" w:hAnsi="Arial"/>
          <w:vertAlign w:val="superscript"/>
          <w:lang w:bidi="sl-SI"/>
        </w:rPr>
        <w:endnoteReference w:id="6"/>
      </w:r>
      <w:r w:rsidR="00CA65C0" w:rsidRPr="00860998">
        <w:rPr>
          <w:rFonts w:ascii="Arial" w:hAnsi="Arial"/>
          <w:lang w:bidi="sl-SI"/>
        </w:rPr>
        <w:t>) ter obresti in stroške postopka</w:t>
      </w:r>
      <w:r w:rsidR="00F261B3">
        <w:rPr>
          <w:rFonts w:ascii="Arial" w:hAnsi="Arial"/>
          <w:lang w:bidi="sl-SI"/>
        </w:rPr>
        <w:t xml:space="preserve"> (v nadaljevanju: carinska obveznost)</w:t>
      </w:r>
      <w:r w:rsidR="00CA65C0" w:rsidRPr="00860998">
        <w:rPr>
          <w:rFonts w:ascii="Arial" w:hAnsi="Arial"/>
          <w:lang w:bidi="sl-SI"/>
        </w:rPr>
        <w:t>,</w:t>
      </w:r>
      <w:r w:rsidR="00CA65C0">
        <w:rPr>
          <w:rFonts w:ascii="Arial" w:hAnsi="Arial"/>
          <w:lang w:bidi="sl-SI"/>
        </w:rPr>
        <w:t xml:space="preserve"> ki bodo in/ali so nastali</w:t>
      </w:r>
      <w:r w:rsidRPr="00AE4B3A">
        <w:rPr>
          <w:rFonts w:ascii="Arial" w:hAnsi="Arial"/>
          <w:lang w:bidi="sl-SI"/>
        </w:rPr>
        <w:t xml:space="preserve"> v zvezi z blagom, ki je zajeto v </w:t>
      </w:r>
      <w:r w:rsidR="00F261B3">
        <w:rPr>
          <w:rFonts w:ascii="Arial" w:hAnsi="Arial"/>
          <w:lang w:bidi="sl-SI"/>
        </w:rPr>
        <w:t xml:space="preserve">spodaj navedenih </w:t>
      </w:r>
      <w:r w:rsidRPr="00AE4B3A">
        <w:rPr>
          <w:rFonts w:ascii="Arial" w:hAnsi="Arial"/>
          <w:lang w:bidi="sl-SI"/>
        </w:rPr>
        <w:t>carinskih</w:t>
      </w:r>
      <w:r w:rsidR="00F261B3">
        <w:rPr>
          <w:rFonts w:ascii="Arial" w:hAnsi="Arial"/>
          <w:lang w:bidi="sl-SI"/>
        </w:rPr>
        <w:t xml:space="preserve"> postopkih oziroma</w:t>
      </w:r>
      <w:r w:rsidRPr="00AE4B3A">
        <w:rPr>
          <w:rFonts w:ascii="Arial" w:hAnsi="Arial"/>
          <w:lang w:bidi="sl-SI"/>
        </w:rPr>
        <w:t xml:space="preserve"> operacijah</w:t>
      </w:r>
      <w:r w:rsidR="00F261B3">
        <w:rPr>
          <w:rFonts w:ascii="Arial" w:hAnsi="Arial"/>
          <w:lang w:bidi="sl-SI"/>
        </w:rPr>
        <w:t>.</w:t>
      </w:r>
      <w:r w:rsidRPr="00AE4B3A">
        <w:rPr>
          <w:rFonts w:ascii="Arial" w:hAnsi="Arial"/>
          <w:lang w:bidi="sl-SI"/>
        </w:rPr>
        <w:t xml:space="preserve">   </w:t>
      </w:r>
    </w:p>
    <w:p w:rsidR="001E6EF7" w:rsidRDefault="001E6EF7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/>
          <w:lang w:bidi="sl-SI"/>
        </w:rPr>
      </w:pPr>
      <w:r w:rsidRPr="001E6EF7">
        <w:rPr>
          <w:rFonts w:ascii="Arial" w:hAnsi="Arial"/>
          <w:lang w:bidi="sl-SI"/>
        </w:rPr>
        <w:t xml:space="preserve">Ta </w:t>
      </w:r>
      <w:r w:rsidR="00EB7331">
        <w:rPr>
          <w:rFonts w:ascii="Arial" w:hAnsi="Arial"/>
          <w:lang w:bidi="sl-SI"/>
        </w:rPr>
        <w:t>gotovinski polog</w:t>
      </w:r>
      <w:r w:rsidRPr="001E6EF7">
        <w:rPr>
          <w:rFonts w:ascii="Arial" w:hAnsi="Arial"/>
          <w:lang w:bidi="sl-SI"/>
        </w:rPr>
        <w:t xml:space="preserve"> velja za naslednje carinske postopke oziroma operacije, v zvezi s katerimi </w:t>
      </w:r>
      <w:r w:rsidR="00F261B3">
        <w:rPr>
          <w:rFonts w:ascii="Arial" w:hAnsi="Arial"/>
          <w:lang w:bidi="sl-SI"/>
        </w:rPr>
        <w:t xml:space="preserve">je nastal, bo nastal oziroma </w:t>
      </w:r>
      <w:r w:rsidRPr="001E6EF7">
        <w:rPr>
          <w:rFonts w:ascii="Arial" w:hAnsi="Arial"/>
          <w:lang w:bidi="sl-SI"/>
        </w:rPr>
        <w:t xml:space="preserve">lahko nastane carinski dolg in druge dajatve </w:t>
      </w:r>
      <w:r w:rsidR="008329F4">
        <w:rPr>
          <w:rFonts w:ascii="Arial" w:hAnsi="Arial"/>
          <w:lang w:bidi="sl-SI"/>
        </w:rPr>
        <w:t>(</w:t>
      </w:r>
      <w:r w:rsidRPr="001E6EF7">
        <w:rPr>
          <w:rFonts w:ascii="Arial" w:hAnsi="Arial"/>
          <w:vertAlign w:val="superscript"/>
          <w:lang w:bidi="sl-SI"/>
        </w:rPr>
        <w:endnoteReference w:id="7"/>
      </w:r>
      <w:r w:rsidR="008329F4">
        <w:rPr>
          <w:rFonts w:ascii="Arial" w:hAnsi="Arial"/>
          <w:lang w:bidi="sl-SI"/>
        </w:rPr>
        <w:t>)</w:t>
      </w:r>
      <w:r w:rsidRPr="001E6EF7">
        <w:rPr>
          <w:rFonts w:ascii="Arial" w:hAnsi="Arial"/>
          <w:lang w:bidi="sl-SI"/>
        </w:rPr>
        <w:t>:</w:t>
      </w:r>
    </w:p>
    <w:p w:rsidR="00885A92" w:rsidRDefault="00885A92" w:rsidP="00AE4B3A">
      <w:pPr>
        <w:widowControl w:val="0"/>
        <w:tabs>
          <w:tab w:val="center" w:pos="2410"/>
          <w:tab w:val="right" w:pos="9072"/>
        </w:tabs>
        <w:spacing w:line="288" w:lineRule="auto"/>
        <w:rPr>
          <w:rFonts w:ascii="Arial" w:hAnsi="Arial"/>
          <w:lang w:bidi="sl-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8535"/>
      </w:tblGrid>
      <w:tr w:rsidR="00F261B3" w:rsidRPr="00F261B3" w:rsidTr="0050164C">
        <w:trPr>
          <w:trHeight w:val="498"/>
        </w:trPr>
        <w:tc>
          <w:tcPr>
            <w:tcW w:w="532" w:type="dxa"/>
            <w:tcBorders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  <w:r w:rsidRPr="00F261B3">
              <w:rPr>
                <w:rFonts w:ascii="Arial" w:hAnsi="Arial" w:cs="Arial"/>
              </w:rPr>
              <w:t>začasna hramba;</w:t>
            </w:r>
          </w:p>
        </w:tc>
      </w:tr>
      <w:tr w:rsidR="00F261B3" w:rsidRPr="00F261B3" w:rsidTr="0050164C">
        <w:trPr>
          <w:trHeight w:val="238"/>
        </w:trPr>
        <w:tc>
          <w:tcPr>
            <w:tcW w:w="532" w:type="dxa"/>
            <w:tcBorders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  <w:r w:rsidRPr="00F261B3">
              <w:rPr>
                <w:rFonts w:ascii="Arial" w:hAnsi="Arial"/>
                <w:lang w:bidi="sl-SI"/>
              </w:rPr>
              <w:t>postopek carinskega skladiščenja;</w:t>
            </w:r>
            <w:r w:rsidRPr="00F261B3">
              <w:rPr>
                <w:rFonts w:ascii="Arial" w:hAnsi="Arial" w:cs="Arial"/>
              </w:rPr>
              <w:t xml:space="preserve"> </w:t>
            </w:r>
          </w:p>
        </w:tc>
      </w:tr>
      <w:tr w:rsidR="00F261B3" w:rsidRPr="00F261B3" w:rsidTr="0050164C">
        <w:trPr>
          <w:trHeight w:val="498"/>
        </w:trPr>
        <w:tc>
          <w:tcPr>
            <w:tcW w:w="532" w:type="dxa"/>
            <w:tcBorders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  <w:r w:rsidRPr="00F261B3">
              <w:rPr>
                <w:rFonts w:ascii="Arial" w:hAnsi="Arial"/>
                <w:lang w:bidi="sl-SI"/>
              </w:rPr>
              <w:t>postopek začasnega uvoza s popolno oprostitvijo uvozne dajatve;</w:t>
            </w:r>
          </w:p>
        </w:tc>
      </w:tr>
      <w:tr w:rsidR="00F261B3" w:rsidRPr="00F261B3" w:rsidTr="0050164C">
        <w:trPr>
          <w:trHeight w:val="238"/>
        </w:trPr>
        <w:tc>
          <w:tcPr>
            <w:tcW w:w="532" w:type="dxa"/>
            <w:tcBorders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  <w:r w:rsidRPr="00F261B3">
              <w:rPr>
                <w:rFonts w:ascii="Arial" w:hAnsi="Arial"/>
                <w:lang w:bidi="sl-SI"/>
              </w:rPr>
              <w:t>postopek aktivnega oplemenitenja;</w:t>
            </w:r>
            <w:r w:rsidRPr="00F261B3">
              <w:rPr>
                <w:rFonts w:ascii="Arial" w:hAnsi="Arial" w:cs="Arial"/>
              </w:rPr>
              <w:t xml:space="preserve"> </w:t>
            </w:r>
          </w:p>
        </w:tc>
      </w:tr>
      <w:tr w:rsidR="00F261B3" w:rsidRPr="00F261B3" w:rsidTr="0050164C">
        <w:trPr>
          <w:trHeight w:val="238"/>
        </w:trPr>
        <w:tc>
          <w:tcPr>
            <w:tcW w:w="532" w:type="dxa"/>
            <w:tcBorders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  <w:r w:rsidRPr="00F261B3">
              <w:rPr>
                <w:rFonts w:ascii="Arial" w:hAnsi="Arial"/>
                <w:lang w:bidi="sl-SI"/>
              </w:rPr>
              <w:t>postopek posebne rabe;</w:t>
            </w:r>
          </w:p>
        </w:tc>
      </w:tr>
      <w:tr w:rsidR="00F261B3" w:rsidRPr="00F261B3" w:rsidTr="0050164C">
        <w:trPr>
          <w:trHeight w:val="2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/>
                <w:lang w:bidi="sl-SI"/>
              </w:rPr>
            </w:pPr>
            <w:r w:rsidRPr="00F261B3">
              <w:rPr>
                <w:rFonts w:ascii="Arial" w:hAnsi="Arial"/>
                <w:lang w:bidi="sl-SI"/>
              </w:rPr>
              <w:t>postopek sprostitve v prosti promet, ki vključuje:</w:t>
            </w:r>
          </w:p>
          <w:p w:rsidR="00F261B3" w:rsidRPr="00F261B3" w:rsidRDefault="00F261B3" w:rsidP="00F261B3">
            <w:pPr>
              <w:widowControl w:val="0"/>
              <w:spacing w:before="120" w:after="200"/>
              <w:jc w:val="both"/>
              <w:rPr>
                <w:rFonts w:ascii="Arial" w:hAnsi="Arial"/>
                <w:sz w:val="16"/>
                <w:szCs w:val="16"/>
                <w:lang w:bidi="sl-SI"/>
              </w:rPr>
            </w:pPr>
            <w:r w:rsidRPr="00F261B3">
              <w:rPr>
                <w:rFonts w:ascii="Arial" w:hAnsi="Arial"/>
                <w:sz w:val="16"/>
                <w:szCs w:val="16"/>
                <w:lang w:bidi="sl-SI"/>
              </w:rPr>
              <w:t>- sprostitev v prosti promet z običajno carinsko deklaracijo brez odloga plačila;</w:t>
            </w:r>
          </w:p>
          <w:p w:rsidR="00F261B3" w:rsidRPr="00F261B3" w:rsidRDefault="00F261B3" w:rsidP="00F261B3">
            <w:pPr>
              <w:widowControl w:val="0"/>
              <w:spacing w:before="120" w:after="200"/>
              <w:jc w:val="both"/>
              <w:rPr>
                <w:rFonts w:ascii="Arial" w:hAnsi="Arial"/>
                <w:sz w:val="16"/>
                <w:szCs w:val="16"/>
                <w:lang w:bidi="sl-SI"/>
              </w:rPr>
            </w:pPr>
            <w:r w:rsidRPr="00F261B3">
              <w:rPr>
                <w:rFonts w:ascii="Arial" w:hAnsi="Arial"/>
                <w:sz w:val="16"/>
                <w:szCs w:val="16"/>
                <w:lang w:bidi="sl-SI"/>
              </w:rPr>
              <w:t>- sprostitev v prosti promet z običajno carinsko deklaracijo z odlogom plačila;</w:t>
            </w:r>
          </w:p>
          <w:p w:rsidR="00F261B3" w:rsidRPr="00F261B3" w:rsidRDefault="00F261B3" w:rsidP="00F261B3">
            <w:pPr>
              <w:widowControl w:val="0"/>
              <w:spacing w:before="120" w:after="200"/>
              <w:jc w:val="both"/>
              <w:rPr>
                <w:rFonts w:ascii="Arial" w:hAnsi="Arial"/>
                <w:sz w:val="16"/>
                <w:szCs w:val="16"/>
                <w:lang w:bidi="sl-SI"/>
              </w:rPr>
            </w:pPr>
            <w:r w:rsidRPr="00F261B3">
              <w:rPr>
                <w:rFonts w:ascii="Arial" w:hAnsi="Arial"/>
                <w:sz w:val="16"/>
                <w:szCs w:val="16"/>
                <w:lang w:bidi="sl-SI"/>
              </w:rPr>
              <w:t>- sprostitev v prosti promet na podlagi carinske deklaracije, vložene v skladu s členom 166 Uredbe (EU) št. 952/2013 Evropskega parlamenta in Sveta z dne 9. oktobra 2013 o carinskem zakoniku Unije;</w:t>
            </w:r>
          </w:p>
          <w:p w:rsidR="00F261B3" w:rsidRPr="00F261B3" w:rsidRDefault="00F261B3" w:rsidP="00F261B3">
            <w:pPr>
              <w:widowControl w:val="0"/>
              <w:spacing w:before="120" w:after="200"/>
              <w:jc w:val="both"/>
              <w:rPr>
                <w:rFonts w:ascii="Arial" w:hAnsi="Arial"/>
                <w:sz w:val="16"/>
                <w:szCs w:val="16"/>
                <w:lang w:bidi="sl-SI"/>
              </w:rPr>
            </w:pPr>
            <w:r w:rsidRPr="00F261B3">
              <w:rPr>
                <w:rFonts w:ascii="Arial" w:hAnsi="Arial"/>
                <w:sz w:val="16"/>
                <w:szCs w:val="16"/>
                <w:lang w:bidi="sl-SI"/>
              </w:rPr>
              <w:t xml:space="preserve">- sprostitev v prosti promet na podlagi carinske deklaracije, vložene v skladu s členom 182 Uredbe (EU) št. 952/2013 </w:t>
            </w:r>
            <w:r w:rsidRPr="00F261B3">
              <w:rPr>
                <w:rFonts w:ascii="Arial" w:hAnsi="Arial"/>
                <w:sz w:val="16"/>
                <w:szCs w:val="16"/>
                <w:lang w:bidi="sl-SI"/>
              </w:rPr>
              <w:lastRenderedPageBreak/>
              <w:t>Evropskega parlamenta in Sveta z dne 9. oktobra 2013 o carinskem zakoniku Unije;</w:t>
            </w:r>
          </w:p>
          <w:p w:rsidR="00F261B3" w:rsidRPr="00F261B3" w:rsidRDefault="00F261B3" w:rsidP="00F261B3">
            <w:pPr>
              <w:widowControl w:val="0"/>
              <w:spacing w:before="120" w:after="200"/>
              <w:jc w:val="both"/>
              <w:rPr>
                <w:rFonts w:ascii="Arial" w:hAnsi="Arial"/>
                <w:sz w:val="16"/>
                <w:szCs w:val="16"/>
                <w:lang w:bidi="sl-SI"/>
              </w:rPr>
            </w:pPr>
            <w:r w:rsidRPr="00F261B3">
              <w:rPr>
                <w:rFonts w:ascii="Arial" w:hAnsi="Arial"/>
                <w:sz w:val="16"/>
                <w:szCs w:val="16"/>
                <w:lang w:bidi="sl-SI"/>
              </w:rPr>
              <w:t>- postopek začasnega uvoza z delno oprostitvijo uvozne dajatve;</w:t>
            </w:r>
          </w:p>
          <w:p w:rsidR="00F261B3" w:rsidRPr="00F261B3" w:rsidRDefault="00F261B3" w:rsidP="00F261B3">
            <w:pPr>
              <w:widowControl w:val="0"/>
              <w:spacing w:before="120" w:after="200"/>
              <w:jc w:val="both"/>
              <w:rPr>
                <w:rFonts w:ascii="Arial" w:hAnsi="Arial"/>
                <w:sz w:val="16"/>
                <w:szCs w:val="16"/>
                <w:lang w:bidi="sl-SI"/>
              </w:rPr>
            </w:pPr>
            <w:r w:rsidRPr="00F261B3">
              <w:rPr>
                <w:rFonts w:ascii="Arial" w:hAnsi="Arial"/>
                <w:sz w:val="16"/>
                <w:szCs w:val="16"/>
                <w:lang w:bidi="sl-SI"/>
              </w:rPr>
              <w:t>- postopek posebne rabe;</w:t>
            </w:r>
          </w:p>
        </w:tc>
      </w:tr>
      <w:tr w:rsidR="00F261B3" w:rsidRPr="00F261B3" w:rsidTr="0050164C">
        <w:trPr>
          <w:trHeight w:val="238"/>
        </w:trPr>
        <w:tc>
          <w:tcPr>
            <w:tcW w:w="532" w:type="dxa"/>
            <w:tcBorders>
              <w:right w:val="single" w:sz="4" w:space="0" w:color="auto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1B3" w:rsidRPr="00F261B3" w:rsidRDefault="00F261B3" w:rsidP="00F261B3">
            <w:pPr>
              <w:widowControl w:val="0"/>
              <w:tabs>
                <w:tab w:val="center" w:pos="2410"/>
                <w:tab w:val="right" w:pos="9072"/>
              </w:tabs>
              <w:spacing w:before="120" w:after="200" w:line="288" w:lineRule="auto"/>
              <w:jc w:val="both"/>
              <w:rPr>
                <w:rFonts w:ascii="Arial" w:hAnsi="Arial" w:cs="Arial"/>
              </w:rPr>
            </w:pPr>
            <w:r w:rsidRPr="00F261B3">
              <w:rPr>
                <w:rFonts w:ascii="Arial" w:hAnsi="Arial"/>
                <w:lang w:bidi="sl-SI"/>
              </w:rPr>
              <w:t>v primeru druge operacije navedite zadevno operacijo.</w:t>
            </w:r>
          </w:p>
        </w:tc>
      </w:tr>
    </w:tbl>
    <w:p w:rsidR="008329F4" w:rsidRDefault="008329F4" w:rsidP="00AE4B3A">
      <w:pPr>
        <w:widowControl w:val="0"/>
        <w:spacing w:before="120" w:after="200"/>
        <w:jc w:val="both"/>
        <w:rPr>
          <w:rFonts w:ascii="Arial" w:hAnsi="Arial"/>
          <w:lang w:bidi="sl-SI"/>
        </w:rPr>
      </w:pPr>
    </w:p>
    <w:p w:rsidR="001E6EF7" w:rsidRDefault="001E6EF7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/>
          <w:lang w:bidi="sl-SI"/>
        </w:rPr>
      </w:pPr>
      <w:r w:rsidRPr="001E6EF7">
        <w:rPr>
          <w:rFonts w:ascii="Arial" w:hAnsi="Arial"/>
          <w:lang w:bidi="sl-SI"/>
        </w:rPr>
        <w:t xml:space="preserve">Ta </w:t>
      </w:r>
      <w:r w:rsidR="0005057C">
        <w:rPr>
          <w:rFonts w:ascii="Arial" w:hAnsi="Arial"/>
          <w:lang w:bidi="sl-SI"/>
        </w:rPr>
        <w:t>gotovinski polog</w:t>
      </w:r>
      <w:r w:rsidRPr="001E6EF7">
        <w:rPr>
          <w:rFonts w:ascii="Arial" w:hAnsi="Arial"/>
          <w:lang w:bidi="sl-SI"/>
        </w:rPr>
        <w:t xml:space="preserve"> krije tudi označeno (</w:t>
      </w:r>
      <w:r w:rsidRPr="001E6EF7">
        <w:rPr>
          <w:rFonts w:ascii="Arial" w:hAnsi="Arial"/>
          <w:vertAlign w:val="superscript"/>
          <w:lang w:bidi="sl-SI"/>
        </w:rPr>
        <w:endnoteReference w:id="8"/>
      </w:r>
      <w:r w:rsidRPr="001E6EF7">
        <w:rPr>
          <w:rFonts w:ascii="Arial" w:hAnsi="Arial"/>
          <w:lang w:bidi="sl-SI"/>
        </w:rPr>
        <w:t xml:space="preserve">): </w:t>
      </w:r>
    </w:p>
    <w:p w:rsidR="00CA65C0" w:rsidRDefault="00CA65C0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/>
          <w:lang w:bidi="sl-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CA65C0" w:rsidRPr="00CA65C0" w:rsidTr="00860998">
        <w:trPr>
          <w:trHeight w:val="487"/>
        </w:trPr>
        <w:tc>
          <w:tcPr>
            <w:tcW w:w="496" w:type="dxa"/>
            <w:tcBorders>
              <w:right w:val="single" w:sz="4" w:space="0" w:color="auto"/>
            </w:tcBorders>
          </w:tcPr>
          <w:p w:rsidR="00CA65C0" w:rsidRPr="00CA65C0" w:rsidRDefault="00CA65C0" w:rsidP="00CA65C0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5C0" w:rsidRPr="00CA65C0" w:rsidRDefault="00CA65C0" w:rsidP="00CA65C0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860998">
              <w:rPr>
                <w:rFonts w:ascii="Arial" w:hAnsi="Arial" w:cs="Arial"/>
              </w:rPr>
              <w:t>Ta gotovinski polog se uporablja tudi za zavarovanje plačila carinske obveznosti v primerih, ko je zavarovanje predloženo za tretjo osebo, ki je dolžnik ali lahko postane dolžnik.</w:t>
            </w:r>
          </w:p>
        </w:tc>
      </w:tr>
    </w:tbl>
    <w:p w:rsidR="001E6EF7" w:rsidRPr="001E6EF7" w:rsidRDefault="001E6EF7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1E6EF7" w:rsidRPr="001E6EF7" w:rsidTr="001E6EF7">
        <w:trPr>
          <w:trHeight w:val="679"/>
        </w:trPr>
        <w:tc>
          <w:tcPr>
            <w:tcW w:w="496" w:type="dxa"/>
            <w:tcBorders>
              <w:right w:val="single" w:sz="4" w:space="0" w:color="auto"/>
            </w:tcBorders>
          </w:tcPr>
          <w:p w:rsidR="001E6EF7" w:rsidRPr="001E6EF7" w:rsidRDefault="001E6EF7" w:rsidP="00AE4B3A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EF7" w:rsidRPr="001E6EF7" w:rsidRDefault="001E6EF7" w:rsidP="00F261B3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1E6EF7">
              <w:rPr>
                <w:rFonts w:ascii="Arial" w:hAnsi="Arial" w:cs="Arial"/>
              </w:rPr>
              <w:t xml:space="preserve">Ta </w:t>
            </w:r>
            <w:r w:rsidR="008329F4">
              <w:rPr>
                <w:rFonts w:ascii="Arial" w:hAnsi="Arial" w:cs="Arial"/>
              </w:rPr>
              <w:t>gotovinski polog</w:t>
            </w:r>
            <w:r w:rsidRPr="001E6EF7">
              <w:rPr>
                <w:rFonts w:ascii="Arial" w:hAnsi="Arial" w:cs="Arial"/>
              </w:rPr>
              <w:t xml:space="preserve"> krije do višine </w:t>
            </w:r>
            <w:r w:rsidR="008329F4">
              <w:rPr>
                <w:rFonts w:ascii="Arial" w:hAnsi="Arial" w:cs="Arial"/>
              </w:rPr>
              <w:t xml:space="preserve">gotovinskega pologa </w:t>
            </w:r>
            <w:r w:rsidRPr="001E6EF7">
              <w:rPr>
                <w:rFonts w:ascii="Arial" w:hAnsi="Arial" w:cs="Arial"/>
              </w:rPr>
              <w:t xml:space="preserve">tudi </w:t>
            </w:r>
            <w:r w:rsidR="00F261B3">
              <w:rPr>
                <w:rFonts w:ascii="Arial" w:hAnsi="Arial" w:cs="Arial"/>
              </w:rPr>
              <w:t>carinsko obveznost</w:t>
            </w:r>
            <w:r w:rsidRPr="001E6EF7">
              <w:rPr>
                <w:rFonts w:ascii="Arial" w:hAnsi="Arial" w:cs="Arial"/>
              </w:rPr>
              <w:t xml:space="preserve"> iz posebnih postopkov, začetih v obdobju veljavnosti predhodnega instrumenta zavarovanja št. _________, z dne ___________, če ti še niso bili zaključeni v skladu s carinsko zakonodajo Evropske unije in bi carinski dolg in druge dajatve še lahko nastale. </w:t>
            </w:r>
          </w:p>
        </w:tc>
      </w:tr>
    </w:tbl>
    <w:p w:rsidR="001E6EF7" w:rsidRPr="001E6EF7" w:rsidRDefault="001E6EF7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1E6EF7" w:rsidRPr="001E6EF7" w:rsidTr="001E6EF7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7" w:rsidRPr="001E6EF7" w:rsidRDefault="001E6EF7" w:rsidP="00AE4B3A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  <w:p w:rsidR="001E6EF7" w:rsidRPr="001E6EF7" w:rsidRDefault="001E6EF7" w:rsidP="00AE4B3A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  <w:p w:rsidR="001E6EF7" w:rsidRPr="001E6EF7" w:rsidRDefault="001E6EF7" w:rsidP="00AE4B3A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  <w:p w:rsidR="001E6EF7" w:rsidRPr="001E6EF7" w:rsidRDefault="001E6EF7" w:rsidP="00AE4B3A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EF7" w:rsidRPr="001E6EF7" w:rsidRDefault="001E6EF7" w:rsidP="00F261B3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1E6EF7">
              <w:rPr>
                <w:rFonts w:ascii="Arial" w:hAnsi="Arial" w:cs="Arial"/>
              </w:rPr>
              <w:t xml:space="preserve">Ta </w:t>
            </w:r>
            <w:r w:rsidR="008329F4">
              <w:rPr>
                <w:rFonts w:ascii="Arial" w:hAnsi="Arial" w:cs="Arial"/>
              </w:rPr>
              <w:t>gotovinski polog</w:t>
            </w:r>
            <w:r w:rsidRPr="001E6EF7">
              <w:rPr>
                <w:rFonts w:ascii="Arial" w:hAnsi="Arial" w:cs="Arial"/>
              </w:rPr>
              <w:t xml:space="preserve"> krije do višine </w:t>
            </w:r>
            <w:r w:rsidR="008329F4">
              <w:rPr>
                <w:rFonts w:ascii="Arial" w:hAnsi="Arial" w:cs="Arial"/>
              </w:rPr>
              <w:t>gotovinskega pologa</w:t>
            </w:r>
            <w:r w:rsidRPr="001E6EF7">
              <w:rPr>
                <w:rFonts w:ascii="Arial" w:hAnsi="Arial" w:cs="Arial"/>
              </w:rPr>
              <w:t xml:space="preserve"> tudi </w:t>
            </w:r>
            <w:r w:rsidR="00F261B3">
              <w:rPr>
                <w:rFonts w:ascii="Arial" w:hAnsi="Arial" w:cs="Arial"/>
              </w:rPr>
              <w:t>carinsko obveznost</w:t>
            </w:r>
            <w:r w:rsidRPr="001E6EF7">
              <w:rPr>
                <w:rFonts w:ascii="Arial" w:hAnsi="Arial" w:cs="Arial"/>
              </w:rPr>
              <w:t xml:space="preserve"> iz carinskih postopkov, začetih v obdobju veljavnosti predhodnega instrumenta zavarovanja št. __________, z dne ___________, ki bi lahko nastale po sprejetju dopolnilne deklaracije, zaključku preverjanja carinske deklaracije, zaradi ukrepa začasne uvedbe dajatev ali v drugih primerih, ko je potrebno po carinskih predpisih zavarovati morebitni carinski dolg in druge dajatve tudi po sprostitvi blaga v prost promet.</w:t>
            </w:r>
          </w:p>
        </w:tc>
      </w:tr>
    </w:tbl>
    <w:p w:rsidR="001E6EF7" w:rsidRPr="001E6EF7" w:rsidRDefault="001E6EF7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1E6EF7" w:rsidRPr="001E6EF7" w:rsidTr="001E6EF7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7" w:rsidRPr="001E6EF7" w:rsidRDefault="001E6EF7" w:rsidP="00AE4B3A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EF7" w:rsidRPr="001E6EF7" w:rsidRDefault="001E6EF7" w:rsidP="008329F4">
            <w:pPr>
              <w:widowControl w:val="0"/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1E6EF7">
              <w:rPr>
                <w:rFonts w:ascii="Arial" w:hAnsi="Arial" w:cs="Arial"/>
              </w:rPr>
              <w:t xml:space="preserve">Na zahtevo </w:t>
            </w:r>
            <w:r w:rsidR="008329F4">
              <w:rPr>
                <w:rFonts w:ascii="Arial" w:hAnsi="Arial" w:cs="Arial"/>
              </w:rPr>
              <w:t>predlagatelja</w:t>
            </w:r>
            <w:r w:rsidRPr="001E6EF7">
              <w:rPr>
                <w:rFonts w:ascii="Arial" w:hAnsi="Arial" w:cs="Arial"/>
              </w:rPr>
              <w:t xml:space="preserve"> te</w:t>
            </w:r>
            <w:r w:rsidR="008329F4">
              <w:rPr>
                <w:rFonts w:ascii="Arial" w:hAnsi="Arial" w:cs="Arial"/>
              </w:rPr>
              <w:t>ga</w:t>
            </w:r>
            <w:r w:rsidRPr="001E6EF7">
              <w:rPr>
                <w:rFonts w:ascii="Arial" w:hAnsi="Arial" w:cs="Arial"/>
              </w:rPr>
              <w:t xml:space="preserve"> </w:t>
            </w:r>
            <w:r w:rsidR="008329F4">
              <w:rPr>
                <w:rFonts w:ascii="Arial" w:hAnsi="Arial" w:cs="Arial"/>
              </w:rPr>
              <w:t xml:space="preserve">gotovinskega pologa </w:t>
            </w:r>
            <w:r w:rsidRPr="001E6EF7">
              <w:rPr>
                <w:rFonts w:ascii="Arial" w:hAnsi="Arial" w:cs="Arial"/>
              </w:rPr>
              <w:t xml:space="preserve">se lahko ta </w:t>
            </w:r>
            <w:r w:rsidR="008329F4">
              <w:rPr>
                <w:rFonts w:ascii="Arial" w:hAnsi="Arial" w:cs="Arial"/>
              </w:rPr>
              <w:t>gotovinski polog</w:t>
            </w:r>
            <w:r w:rsidRPr="001E6EF7">
              <w:rPr>
                <w:rFonts w:ascii="Arial" w:hAnsi="Arial" w:cs="Arial"/>
              </w:rPr>
              <w:t xml:space="preserve"> do višine </w:t>
            </w:r>
            <w:r w:rsidR="008329F4">
              <w:rPr>
                <w:rFonts w:ascii="Arial" w:hAnsi="Arial" w:cs="Arial"/>
              </w:rPr>
              <w:t>gotovinskega pologa</w:t>
            </w:r>
            <w:r w:rsidRPr="001E6EF7">
              <w:rPr>
                <w:rFonts w:ascii="Arial" w:hAnsi="Arial" w:cs="Arial"/>
              </w:rPr>
              <w:t xml:space="preserve"> uporabi za odobritev odloga plačila, obročnega plačevanja in drugih plačilnih olajšav, ki jih predvideva veljavna zakonodaja in so pogojene s predložitvijo zavarovanja.</w:t>
            </w:r>
          </w:p>
        </w:tc>
      </w:tr>
    </w:tbl>
    <w:p w:rsidR="002C2E92" w:rsidRPr="00880A11" w:rsidRDefault="00880A11" w:rsidP="008329F4">
      <w:pPr>
        <w:widowControl w:val="0"/>
        <w:tabs>
          <w:tab w:val="center" w:pos="2410"/>
          <w:tab w:val="right" w:pos="9072"/>
        </w:tabs>
        <w:spacing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7241" w:rsidRDefault="00E37241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:rsidR="003F65D5" w:rsidRPr="00880A11" w:rsidRDefault="003F65D5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880A11">
        <w:rPr>
          <w:rFonts w:ascii="Arial" w:hAnsi="Arial" w:cs="Arial"/>
        </w:rPr>
        <w:t>Gotovinski polog se znižuje za vsak po tem zavarovanju plačan znesek do skupnega zneska gotovinskega pologa.</w:t>
      </w:r>
    </w:p>
    <w:p w:rsidR="00E37241" w:rsidRDefault="00E37241" w:rsidP="008329F4">
      <w:pPr>
        <w:spacing w:after="120"/>
        <w:rPr>
          <w:rFonts w:ascii="Arial" w:hAnsi="Arial" w:cs="Arial"/>
        </w:rPr>
      </w:pPr>
    </w:p>
    <w:p w:rsidR="00082BD6" w:rsidRDefault="00082BD6" w:rsidP="008329F4">
      <w:pPr>
        <w:spacing w:after="120"/>
        <w:rPr>
          <w:rFonts w:ascii="Arial" w:hAnsi="Arial" w:cs="Arial"/>
        </w:rPr>
      </w:pPr>
    </w:p>
    <w:p w:rsidR="008329F4" w:rsidRPr="008329F4" w:rsidRDefault="008329F4" w:rsidP="008329F4">
      <w:pPr>
        <w:spacing w:after="120"/>
        <w:rPr>
          <w:rFonts w:ascii="Arial" w:hAnsi="Arial" w:cs="Arial"/>
        </w:rPr>
      </w:pPr>
      <w:r w:rsidRPr="008329F4">
        <w:rPr>
          <w:rFonts w:ascii="Arial" w:hAnsi="Arial" w:cs="Arial"/>
        </w:rPr>
        <w:t>V/na …………………………………………………</w:t>
      </w:r>
    </w:p>
    <w:p w:rsidR="008329F4" w:rsidRPr="008329F4" w:rsidRDefault="008329F4" w:rsidP="008329F4">
      <w:pPr>
        <w:rPr>
          <w:rFonts w:ascii="Arial" w:hAnsi="Arial" w:cs="Arial"/>
        </w:rPr>
      </w:pPr>
      <w:r w:rsidRPr="008329F4">
        <w:rPr>
          <w:rFonts w:ascii="Arial" w:hAnsi="Arial" w:cs="Arial"/>
        </w:rPr>
        <w:t>dne ………………………………………………….</w:t>
      </w:r>
    </w:p>
    <w:p w:rsidR="00082BD6" w:rsidRDefault="00082BD6" w:rsidP="008329F4">
      <w:pPr>
        <w:jc w:val="center"/>
        <w:rPr>
          <w:rFonts w:ascii="Arial" w:hAnsi="Arial" w:cs="Arial"/>
        </w:rPr>
      </w:pPr>
    </w:p>
    <w:p w:rsidR="003F65D5" w:rsidRPr="00880A11" w:rsidRDefault="003F65D5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:rsidR="003F65D5" w:rsidRPr="00880A11" w:rsidRDefault="003F65D5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</w:p>
    <w:p w:rsidR="003F65D5" w:rsidRPr="00880A11" w:rsidRDefault="003F65D5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880A11">
        <w:rPr>
          <w:rFonts w:ascii="Arial" w:hAnsi="Arial" w:cs="Arial"/>
        </w:rPr>
        <w:t xml:space="preserve">                                                                              </w:t>
      </w:r>
      <w:r w:rsidR="00082BD6">
        <w:rPr>
          <w:rFonts w:ascii="Arial" w:hAnsi="Arial" w:cs="Arial"/>
        </w:rPr>
        <w:t xml:space="preserve">                      </w:t>
      </w:r>
      <w:r w:rsidRPr="00880A11">
        <w:rPr>
          <w:rFonts w:ascii="Arial" w:hAnsi="Arial" w:cs="Arial"/>
        </w:rPr>
        <w:t>................................................</w:t>
      </w:r>
    </w:p>
    <w:p w:rsidR="003F65D5" w:rsidRPr="00880A11" w:rsidRDefault="003F65D5" w:rsidP="00AE4B3A">
      <w:pPr>
        <w:widowControl w:val="0"/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</w:rPr>
      </w:pPr>
      <w:r w:rsidRPr="00880A11">
        <w:rPr>
          <w:rFonts w:ascii="Arial" w:hAnsi="Arial" w:cs="Arial"/>
        </w:rPr>
        <w:t xml:space="preserve">                                                    </w:t>
      </w:r>
      <w:r w:rsidR="00082BD6">
        <w:rPr>
          <w:rFonts w:ascii="Arial" w:hAnsi="Arial" w:cs="Arial"/>
        </w:rPr>
        <w:t xml:space="preserve">                          </w:t>
      </w:r>
      <w:r w:rsidRPr="00880A11">
        <w:rPr>
          <w:rFonts w:ascii="Arial" w:hAnsi="Arial" w:cs="Arial"/>
        </w:rPr>
        <w:t xml:space="preserve"> </w:t>
      </w:r>
      <w:r w:rsidR="00082BD6">
        <w:rPr>
          <w:rFonts w:ascii="Arial" w:hAnsi="Arial" w:cs="Arial"/>
        </w:rPr>
        <w:t xml:space="preserve">                         </w:t>
      </w:r>
      <w:r w:rsidRPr="00880A11">
        <w:rPr>
          <w:rFonts w:ascii="Arial" w:hAnsi="Arial" w:cs="Arial"/>
        </w:rPr>
        <w:t>(Podpis pooblaščene osebe)</w:t>
      </w:r>
    </w:p>
    <w:p w:rsidR="00E37241" w:rsidRDefault="00E37241" w:rsidP="00AE4B3A">
      <w:pPr>
        <w:widowControl w:val="0"/>
        <w:jc w:val="both"/>
        <w:rPr>
          <w:rFonts w:ascii="Arial" w:hAnsi="Arial" w:cs="Arial"/>
        </w:rPr>
      </w:pPr>
    </w:p>
    <w:p w:rsidR="00681603" w:rsidRDefault="00681603" w:rsidP="00AE4B3A">
      <w:pPr>
        <w:widowControl w:val="0"/>
        <w:jc w:val="both"/>
        <w:rPr>
          <w:rFonts w:ascii="Arial" w:hAnsi="Arial" w:cs="Arial"/>
        </w:rPr>
      </w:pPr>
      <w:bookmarkStart w:id="0" w:name="_GoBack"/>
      <w:bookmarkEnd w:id="0"/>
    </w:p>
    <w:p w:rsidR="00E37241" w:rsidRPr="00880A11" w:rsidRDefault="00E37241" w:rsidP="00AE4B3A">
      <w:pPr>
        <w:widowControl w:val="0"/>
        <w:jc w:val="both"/>
        <w:rPr>
          <w:rFonts w:ascii="Arial" w:hAnsi="Arial" w:cs="Arial"/>
        </w:rPr>
      </w:pPr>
    </w:p>
    <w:sectPr w:rsidR="00E37241" w:rsidRPr="00880A11"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36" w:rsidRDefault="00481D36">
      <w:r>
        <w:separator/>
      </w:r>
    </w:p>
  </w:endnote>
  <w:endnote w:type="continuationSeparator" w:id="0">
    <w:p w:rsidR="00481D36" w:rsidRDefault="00481D36">
      <w:r>
        <w:continuationSeparator/>
      </w:r>
    </w:p>
  </w:endnote>
  <w:endnote w:id="1">
    <w:p w:rsidR="008329F4" w:rsidRPr="006018A1" w:rsidRDefault="008329F4" w:rsidP="008329F4">
      <w:pPr>
        <w:spacing w:before="100" w:beforeAutospacing="1" w:after="100" w:afterAutospacing="1"/>
        <w:ind w:left="705" w:hanging="705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Fonts w:ascii="Arial" w:hAnsi="Arial" w:cs="Arial"/>
          <w:vertAlign w:val="superscript"/>
        </w:rPr>
        <w:endnoteRef/>
      </w:r>
      <w:r w:rsidRPr="006018A1">
        <w:rPr>
          <w:rFonts w:ascii="Arial" w:hAnsi="Arial" w:cs="Arial"/>
        </w:rPr>
        <w:t xml:space="preserve">) </w:t>
      </w:r>
      <w:r w:rsidRPr="006018A1">
        <w:rPr>
          <w:rFonts w:ascii="Arial" w:hAnsi="Arial" w:cs="Arial"/>
        </w:rPr>
        <w:tab/>
        <w:t>Navedite davčno oziroma drugo identifikacijsko številko, priimek in ime ali naziv plačnika - predlagatelja zavarovanja.</w:t>
      </w:r>
    </w:p>
  </w:endnote>
  <w:endnote w:id="2">
    <w:p w:rsidR="008329F4" w:rsidRPr="006018A1" w:rsidRDefault="008329F4" w:rsidP="008329F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Fonts w:ascii="Arial" w:hAnsi="Arial" w:cs="Arial"/>
          <w:vertAlign w:val="superscript"/>
        </w:rPr>
        <w:endnoteRef/>
      </w:r>
      <w:r w:rsidRPr="006018A1">
        <w:rPr>
          <w:rFonts w:ascii="Arial" w:hAnsi="Arial" w:cs="Arial"/>
        </w:rPr>
        <w:t xml:space="preserve">) </w:t>
      </w:r>
      <w:r w:rsidRPr="006018A1">
        <w:rPr>
          <w:rFonts w:ascii="Arial" w:hAnsi="Arial" w:cs="Arial"/>
        </w:rPr>
        <w:tab/>
        <w:t>Navedite datum plačila gotovinskega pologa.</w:t>
      </w:r>
    </w:p>
  </w:endnote>
  <w:endnote w:id="3">
    <w:p w:rsidR="008329F4" w:rsidRPr="006018A1" w:rsidRDefault="008329F4" w:rsidP="008329F4">
      <w:pPr>
        <w:spacing w:before="100" w:beforeAutospacing="1" w:after="100" w:afterAutospacing="1"/>
        <w:ind w:left="705" w:hanging="705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Fonts w:ascii="Arial" w:hAnsi="Arial" w:cs="Arial"/>
          <w:vertAlign w:val="superscript"/>
        </w:rPr>
        <w:endnoteRef/>
      </w:r>
      <w:r w:rsidRPr="006018A1">
        <w:rPr>
          <w:rFonts w:ascii="Arial" w:hAnsi="Arial" w:cs="Arial"/>
        </w:rPr>
        <w:t xml:space="preserve">) </w:t>
      </w:r>
      <w:r w:rsidRPr="006018A1">
        <w:rPr>
          <w:rFonts w:ascii="Arial" w:hAnsi="Arial" w:cs="Arial"/>
        </w:rPr>
        <w:tab/>
        <w:t>Navedite davčno oziroma drugo identifikacijsko številko, priimek in ime ali naziv predlagatelja zavarovanja.</w:t>
      </w:r>
    </w:p>
  </w:endnote>
  <w:endnote w:id="4">
    <w:p w:rsidR="008329F4" w:rsidRPr="006018A1" w:rsidRDefault="008329F4" w:rsidP="008329F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Fonts w:ascii="Arial" w:hAnsi="Arial" w:cs="Arial"/>
          <w:vertAlign w:val="superscript"/>
        </w:rPr>
        <w:endnoteRef/>
      </w:r>
      <w:r w:rsidRPr="006018A1">
        <w:rPr>
          <w:rFonts w:ascii="Arial" w:hAnsi="Arial" w:cs="Arial"/>
        </w:rPr>
        <w:t>)</w:t>
      </w:r>
      <w:r w:rsidRPr="006018A1">
        <w:rPr>
          <w:rFonts w:ascii="Arial" w:hAnsi="Arial" w:cs="Arial"/>
        </w:rPr>
        <w:tab/>
        <w:t>Navedite polni naslov predlagatelja zavarovanja.</w:t>
      </w:r>
    </w:p>
  </w:endnote>
  <w:endnote w:id="5">
    <w:p w:rsidR="008329F4" w:rsidRPr="006018A1" w:rsidRDefault="008329F4" w:rsidP="008329F4">
      <w:pPr>
        <w:pStyle w:val="Konnaopomba-besedilo"/>
        <w:ind w:left="709" w:hanging="709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Style w:val="Konnaopomba-sklic"/>
          <w:rFonts w:ascii="Arial" w:hAnsi="Arial" w:cs="Arial"/>
        </w:rPr>
        <w:endnoteRef/>
      </w:r>
      <w:r w:rsidRPr="006018A1">
        <w:rPr>
          <w:rFonts w:ascii="Arial" w:hAnsi="Arial" w:cs="Arial"/>
        </w:rPr>
        <w:t>)</w:t>
      </w:r>
      <w:r w:rsidRPr="006018A1">
        <w:rPr>
          <w:rFonts w:ascii="Arial" w:hAnsi="Arial" w:cs="Arial"/>
        </w:rPr>
        <w:tab/>
        <w:t xml:space="preserve">Če se </w:t>
      </w:r>
      <w:r>
        <w:rPr>
          <w:rFonts w:ascii="Arial" w:hAnsi="Arial" w:cs="Arial"/>
        </w:rPr>
        <w:t>lahko gotovinski polog</w:t>
      </w:r>
      <w:r w:rsidRPr="006018A1">
        <w:rPr>
          <w:rFonts w:ascii="Arial" w:hAnsi="Arial" w:cs="Arial"/>
        </w:rPr>
        <w:t xml:space="preserve"> uporablja samo v Republiki Sloveniji, se navede samo Republiko Slovenijo. Če zavarovanje velja </w:t>
      </w:r>
      <w:r>
        <w:rPr>
          <w:rFonts w:ascii="Arial" w:hAnsi="Arial" w:cs="Arial"/>
        </w:rPr>
        <w:t xml:space="preserve">tudi na ozemlju drugih držav članic, </w:t>
      </w:r>
      <w:r w:rsidRPr="006018A1">
        <w:rPr>
          <w:rFonts w:ascii="Arial" w:hAnsi="Arial" w:cs="Arial"/>
        </w:rPr>
        <w:t xml:space="preserve">se navedejo tiste države članice, na ozemlju katerih se zavarovanje sme uporabljati. </w:t>
      </w:r>
    </w:p>
  </w:endnote>
  <w:endnote w:id="6">
    <w:p w:rsidR="008329F4" w:rsidRPr="006018A1" w:rsidRDefault="008329F4" w:rsidP="008329F4">
      <w:pPr>
        <w:pStyle w:val="Konnaopomba-besedilo"/>
        <w:spacing w:before="100" w:beforeAutospacing="1" w:after="100" w:afterAutospacing="1"/>
        <w:ind w:left="705" w:hanging="705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Style w:val="Konnaopomba-sklic"/>
          <w:rFonts w:ascii="Arial" w:hAnsi="Arial" w:cs="Arial"/>
        </w:rPr>
        <w:endnoteRef/>
      </w:r>
      <w:r w:rsidRPr="006018A1">
        <w:rPr>
          <w:rFonts w:ascii="Arial" w:hAnsi="Arial" w:cs="Arial"/>
        </w:rPr>
        <w:t xml:space="preserve">) </w:t>
      </w:r>
      <w:r w:rsidRPr="006018A1">
        <w:rPr>
          <w:rFonts w:ascii="Arial" w:hAnsi="Arial" w:cs="Arial"/>
        </w:rPr>
        <w:tab/>
      </w:r>
      <w:r w:rsidRPr="006018A1">
        <w:rPr>
          <w:rFonts w:ascii="Arial" w:hAnsi="Arial" w:cs="Arial"/>
        </w:rPr>
        <w:tab/>
        <w:t xml:space="preserve">Velja za carine in druge predpisane dajatve v povezavi z uvozom ali izvozom blaga. </w:t>
      </w:r>
    </w:p>
  </w:endnote>
  <w:endnote w:id="7">
    <w:p w:rsidR="008329F4" w:rsidRPr="006018A1" w:rsidRDefault="008329F4" w:rsidP="008329F4">
      <w:pPr>
        <w:pStyle w:val="Konnaopomba-besedilo"/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018A1">
        <w:rPr>
          <w:rStyle w:val="Konnaopomba-sklic"/>
          <w:rFonts w:ascii="Arial" w:hAnsi="Arial" w:cs="Arial"/>
        </w:rPr>
        <w:endnoteRef/>
      </w:r>
      <w:r>
        <w:rPr>
          <w:rFonts w:ascii="Arial" w:hAnsi="Arial" w:cs="Arial"/>
        </w:rPr>
        <w:t>)</w:t>
      </w:r>
      <w:r w:rsidRPr="006018A1">
        <w:rPr>
          <w:rFonts w:ascii="Arial" w:hAnsi="Arial" w:cs="Arial"/>
        </w:rPr>
        <w:t xml:space="preserve"> </w:t>
      </w:r>
      <w:r w:rsidRPr="006018A1">
        <w:rPr>
          <w:rFonts w:ascii="Arial" w:hAnsi="Arial" w:cs="Arial"/>
        </w:rPr>
        <w:tab/>
        <w:t xml:space="preserve">Označite postopke, za katere velja zavarovanje. </w:t>
      </w:r>
    </w:p>
  </w:endnote>
  <w:endnote w:id="8">
    <w:p w:rsidR="008329F4" w:rsidRPr="006018A1" w:rsidRDefault="008329F4" w:rsidP="008329F4">
      <w:pPr>
        <w:pStyle w:val="Konnaopomba-besedilo"/>
        <w:jc w:val="both"/>
        <w:rPr>
          <w:rFonts w:ascii="Arial" w:hAnsi="Arial" w:cs="Arial"/>
        </w:rPr>
      </w:pPr>
      <w:r w:rsidRPr="006018A1">
        <w:rPr>
          <w:rFonts w:ascii="Arial" w:hAnsi="Arial" w:cs="Arial"/>
        </w:rPr>
        <w:t>(</w:t>
      </w:r>
      <w:r w:rsidRPr="006018A1">
        <w:rPr>
          <w:rStyle w:val="Konnaopomba-sklic"/>
          <w:rFonts w:ascii="Arial" w:hAnsi="Arial" w:cs="Arial"/>
        </w:rPr>
        <w:endnoteRef/>
      </w:r>
      <w:r w:rsidRPr="006018A1">
        <w:rPr>
          <w:rFonts w:ascii="Arial" w:hAnsi="Arial" w:cs="Arial"/>
        </w:rPr>
        <w:t xml:space="preserve">) </w:t>
      </w:r>
      <w:r w:rsidRPr="006018A1">
        <w:rPr>
          <w:rFonts w:ascii="Arial" w:hAnsi="Arial" w:cs="Arial"/>
        </w:rPr>
        <w:tab/>
        <w:t>Označite veljavnost določbe oziroma jo izpustite, če ni potrebna.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F4" w:rsidRDefault="008329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29F4" w:rsidRDefault="008329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F4" w:rsidRDefault="008329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8160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329F4" w:rsidRDefault="008329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36" w:rsidRDefault="00481D36">
      <w:r>
        <w:separator/>
      </w:r>
    </w:p>
  </w:footnote>
  <w:footnote w:type="continuationSeparator" w:id="0">
    <w:p w:rsidR="00481D36" w:rsidRDefault="0048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9F" w:rsidRDefault="005C1D9F" w:rsidP="005C1D9F">
    <w:pPr>
      <w:pStyle w:val="Glava"/>
      <w:jc w:val="right"/>
    </w:pPr>
    <w:r w:rsidRPr="009C1159">
      <w:rPr>
        <w:noProof/>
      </w:rPr>
      <w:drawing>
        <wp:inline distT="0" distB="0" distL="0" distR="0" wp14:anchorId="21E42848" wp14:editId="48EA1E48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9F4" w:rsidRDefault="008329F4" w:rsidP="005A279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2376"/>
    <w:multiLevelType w:val="hybridMultilevel"/>
    <w:tmpl w:val="89D4EC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824A9"/>
    <w:multiLevelType w:val="hybridMultilevel"/>
    <w:tmpl w:val="514663C8"/>
    <w:lvl w:ilvl="0" w:tplc="FE28CA7C">
      <w:start w:val="1"/>
      <w:numFmt w:val="lowerLetter"/>
      <w:lvlText w:val="1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2" w:hanging="360"/>
      </w:pPr>
    </w:lvl>
    <w:lvl w:ilvl="2" w:tplc="0424001B" w:tentative="1">
      <w:start w:val="1"/>
      <w:numFmt w:val="lowerRoman"/>
      <w:lvlText w:val="%3."/>
      <w:lvlJc w:val="right"/>
      <w:pPr>
        <w:ind w:left="1452" w:hanging="180"/>
      </w:pPr>
    </w:lvl>
    <w:lvl w:ilvl="3" w:tplc="0424000F" w:tentative="1">
      <w:start w:val="1"/>
      <w:numFmt w:val="decimal"/>
      <w:lvlText w:val="%4."/>
      <w:lvlJc w:val="left"/>
      <w:pPr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D5"/>
    <w:rsid w:val="000469B3"/>
    <w:rsid w:val="0005057C"/>
    <w:rsid w:val="00055316"/>
    <w:rsid w:val="00082BD6"/>
    <w:rsid w:val="00163D90"/>
    <w:rsid w:val="00185F44"/>
    <w:rsid w:val="001E6EF7"/>
    <w:rsid w:val="0022028E"/>
    <w:rsid w:val="00220CA1"/>
    <w:rsid w:val="002B2B33"/>
    <w:rsid w:val="002C2E92"/>
    <w:rsid w:val="003A33D5"/>
    <w:rsid w:val="003F65D5"/>
    <w:rsid w:val="00481D36"/>
    <w:rsid w:val="00490843"/>
    <w:rsid w:val="00493E86"/>
    <w:rsid w:val="004A6754"/>
    <w:rsid w:val="00512864"/>
    <w:rsid w:val="0057071A"/>
    <w:rsid w:val="005A2796"/>
    <w:rsid w:val="005C1D9F"/>
    <w:rsid w:val="00600F0C"/>
    <w:rsid w:val="006018A1"/>
    <w:rsid w:val="00681603"/>
    <w:rsid w:val="00720F0E"/>
    <w:rsid w:val="007610E9"/>
    <w:rsid w:val="00764F53"/>
    <w:rsid w:val="00800187"/>
    <w:rsid w:val="00801496"/>
    <w:rsid w:val="008329F4"/>
    <w:rsid w:val="00860998"/>
    <w:rsid w:val="00880A11"/>
    <w:rsid w:val="00885A92"/>
    <w:rsid w:val="00897E02"/>
    <w:rsid w:val="008A7A23"/>
    <w:rsid w:val="009048A3"/>
    <w:rsid w:val="00936047"/>
    <w:rsid w:val="00977055"/>
    <w:rsid w:val="009D6CC2"/>
    <w:rsid w:val="009E1C4A"/>
    <w:rsid w:val="00A94E92"/>
    <w:rsid w:val="00AB0B67"/>
    <w:rsid w:val="00AD6D54"/>
    <w:rsid w:val="00AE4B3A"/>
    <w:rsid w:val="00B27107"/>
    <w:rsid w:val="00C15B1A"/>
    <w:rsid w:val="00C53C8A"/>
    <w:rsid w:val="00C56A65"/>
    <w:rsid w:val="00CA65C0"/>
    <w:rsid w:val="00CB7904"/>
    <w:rsid w:val="00D661A0"/>
    <w:rsid w:val="00E37241"/>
    <w:rsid w:val="00E9306F"/>
    <w:rsid w:val="00EB7331"/>
    <w:rsid w:val="00F261B3"/>
    <w:rsid w:val="00F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B92E-E699-4199-9D73-90E2636E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napToGrid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pPr>
      <w:ind w:left="709"/>
      <w:jc w:val="both"/>
    </w:pPr>
    <w:rPr>
      <w:snapToGrid w:val="0"/>
      <w:sz w:val="24"/>
    </w:rPr>
  </w:style>
  <w:style w:type="paragraph" w:styleId="Telobesedila-zamik2">
    <w:name w:val="Body Text Indent 2"/>
    <w:basedOn w:val="Navaden"/>
    <w:pPr>
      <w:ind w:left="708"/>
      <w:jc w:val="both"/>
    </w:pPr>
    <w:rPr>
      <w:snapToGrid w:val="0"/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801496"/>
    <w:pPr>
      <w:spacing w:after="120" w:line="480" w:lineRule="auto"/>
    </w:pPr>
  </w:style>
  <w:style w:type="paragraph" w:styleId="Konnaopomba-besedilo">
    <w:name w:val="endnote text"/>
    <w:basedOn w:val="Navaden"/>
    <w:link w:val="Konnaopomba-besediloZnak"/>
    <w:rsid w:val="001E6EF7"/>
  </w:style>
  <w:style w:type="character" w:customStyle="1" w:styleId="Konnaopomba-besediloZnak">
    <w:name w:val="Končna opomba - besedilo Znak"/>
    <w:basedOn w:val="Privzetapisavaodstavka"/>
    <w:link w:val="Konnaopomba-besedilo"/>
    <w:rsid w:val="001E6EF7"/>
  </w:style>
  <w:style w:type="character" w:styleId="Konnaopomba-sklic">
    <w:name w:val="endnote reference"/>
    <w:rsid w:val="001E6EF7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rsid w:val="005C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6124-4428-4A5D-A074-C6E35433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OBRAZEC:</vt:lpstr>
    </vt:vector>
  </TitlesOfParts>
  <Company>GCU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</dc:title>
  <dc:subject/>
  <dc:creator>Mateja Rejec</dc:creator>
  <cp:keywords/>
  <cp:lastModifiedBy>Mateja Rejec</cp:lastModifiedBy>
  <cp:revision>5</cp:revision>
  <cp:lastPrinted>2007-03-19T12:12:00Z</cp:lastPrinted>
  <dcterms:created xsi:type="dcterms:W3CDTF">2020-11-16T19:35:00Z</dcterms:created>
  <dcterms:modified xsi:type="dcterms:W3CDTF">2020-11-17T13:36:00Z</dcterms:modified>
</cp:coreProperties>
</file>