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560EB" w:rsidR="006F72F3" w:rsidRDefault="006F72F3">
      <w:pPr>
        <w:spacing w:after="499" w:line="259" w:lineRule="auto"/>
        <w:ind w:left="0" w:firstLine="0"/>
        <w:jc w:val="right"/>
        <w:rPr>
          <w:szCs w:val="22"/>
        </w:rPr>
      </w:pPr>
    </w:p>
    <w:p w:rsidRPr="006560EB" w:rsidR="006F72F3" w:rsidRDefault="00AC0F8E">
      <w:pPr>
        <w:spacing w:after="48" w:line="259" w:lineRule="auto"/>
        <w:ind w:left="0" w:right="108" w:firstLine="0"/>
        <w:jc w:val="right"/>
        <w:rPr>
          <w:szCs w:val="22"/>
        </w:rPr>
      </w:pPr>
      <w:r w:rsidRPr="006560EB">
        <w:rPr>
          <w:b/>
        </w:rPr>
        <w:t>Annex 20</w:t>
      </w:r>
    </w:p>
    <w:p w:rsidRPr="006560EB" w:rsidR="006F72F3" w:rsidRDefault="00AC0F8E">
      <w:pPr>
        <w:spacing w:after="49"/>
        <w:ind w:left="0" w:right="91"/>
        <w:rPr>
          <w:szCs w:val="22"/>
        </w:rPr>
      </w:pPr>
      <w:r w:rsidRPr="006560EB">
        <w:t>Taxable person: ………………………………………………</w:t>
      </w:r>
      <w:proofErr w:type="gramStart"/>
      <w:r w:rsidRPr="006560EB">
        <w:t>…..</w:t>
      </w:r>
      <w:proofErr w:type="gramEnd"/>
    </w:p>
    <w:p w:rsidRPr="006560EB" w:rsidR="006F72F3" w:rsidRDefault="00AC0F8E">
      <w:pPr>
        <w:ind w:left="0" w:right="91"/>
        <w:rPr>
          <w:szCs w:val="22"/>
        </w:rPr>
      </w:pPr>
      <w:r w:rsidRPr="006560EB">
        <w:t>Tax number: …………………………</w:t>
      </w:r>
    </w:p>
    <w:p w:rsidRPr="006560EB" w:rsidR="006F72F3" w:rsidRDefault="006F72F3">
      <w:pPr>
        <w:spacing w:after="80" w:line="259" w:lineRule="auto"/>
        <w:ind w:left="5" w:firstLine="0"/>
        <w:jc w:val="left"/>
        <w:rPr>
          <w:szCs w:val="22"/>
        </w:rPr>
      </w:pPr>
    </w:p>
    <w:p w:rsidRPr="006560EB" w:rsidR="006F72F3" w:rsidP="0088428F" w:rsidRDefault="00AC0F8E">
      <w:pPr>
        <w:spacing w:after="69" w:line="259" w:lineRule="auto"/>
        <w:ind w:right="111"/>
        <w:jc w:val="center"/>
        <w:rPr>
          <w:szCs w:val="22"/>
        </w:rPr>
      </w:pPr>
      <w:r w:rsidRPr="006560EB">
        <w:rPr>
          <w:b/>
        </w:rPr>
        <w:t>DECLARATION OF DETERMINATION OF THE TAX BASE</w:t>
      </w:r>
      <w:r w:rsidRPr="006560EB">
        <w:rPr>
          <w:b/>
        </w:rPr>
        <w:br/>
        <w:t>BY REFERENCE TO NORMALISED EXPENSES</w:t>
      </w:r>
    </w:p>
    <w:p w:rsidRPr="006560EB" w:rsidR="006F72F3" w:rsidRDefault="006F72F3">
      <w:pPr>
        <w:spacing w:after="39" w:line="259" w:lineRule="auto"/>
        <w:ind w:left="5" w:firstLine="0"/>
        <w:jc w:val="left"/>
        <w:rPr>
          <w:szCs w:val="22"/>
        </w:rPr>
      </w:pPr>
    </w:p>
    <w:p w:rsidRPr="006560EB" w:rsidR="006F72F3" w:rsidRDefault="00AC0F8E">
      <w:pPr>
        <w:ind w:left="0" w:right="91"/>
        <w:rPr>
          <w:szCs w:val="22"/>
        </w:rPr>
      </w:pPr>
      <w:r w:rsidRPr="006560EB">
        <w:t>Pursuant to Article 67b of the Corporate Income Tax Act (Official Gazette of the Republic of Slovenia Nos 117/06, 56/08, 76/08, 5/09, 96/09, 110/09 [ZDavP‑2B], 43/10, 59/11, 24/12, 30/12, 94/12, 81/13, 50/14, 23/15, 82/15, 68/16 and 69/17, hereinafter, ZDDPO‑2) and Article 382a of the Tax Procedure Act (Official Gazette of the Republic of Slovenia Nos 13/11 [official consolidated text], 32/12, 94/12, 101/13 [</w:t>
      </w:r>
      <w:proofErr w:type="spellStart"/>
      <w:r w:rsidRPr="006560EB">
        <w:t>ZDavNepr</w:t>
      </w:r>
      <w:proofErr w:type="spellEnd"/>
      <w:r w:rsidRPr="006560EB">
        <w:t>], 111/13, 22/14 [Constitutional Court Decision], 25/14 [ZFU], 40/14 [ZIN-B], 90/14, 91/15, 63/16 and 69/17),</w:t>
      </w:r>
    </w:p>
    <w:p w:rsidRPr="006560EB" w:rsidR="006F72F3" w:rsidRDefault="00AC0F8E">
      <w:pPr>
        <w:ind w:left="0" w:right="8954"/>
        <w:rPr>
          <w:szCs w:val="22"/>
        </w:rPr>
      </w:pPr>
      <w:r w:rsidRPr="006560EB">
        <w:t xml:space="preserve"> I.</w:t>
      </w:r>
    </w:p>
    <w:p w:rsidRPr="006560EB" w:rsidR="006F72F3" w:rsidRDefault="00AC0F8E">
      <w:pPr>
        <w:ind w:left="0" w:right="91"/>
        <w:rPr>
          <w:szCs w:val="22"/>
        </w:rPr>
      </w:pPr>
      <w:r w:rsidRPr="006560EB">
        <w:t xml:space="preserve">I declare that the abovementioned taxable person will determine the tax base by </w:t>
      </w:r>
      <w:proofErr w:type="gramStart"/>
      <w:r w:rsidRPr="006560EB">
        <w:t>taking into account</w:t>
      </w:r>
      <w:proofErr w:type="gramEnd"/>
      <w:r w:rsidRPr="006560EB">
        <w:t xml:space="preserve"> the normalised expenses for the tax period beginning on 1 January (YYYY + 1), and for subsequent tax periods, until cancellation or until the tax period in which the taxable person longer meets the conditions for determining the tax base by reference to normalised expenses.</w:t>
      </w:r>
    </w:p>
    <w:p w:rsidRPr="006560EB" w:rsidR="006F72F3" w:rsidRDefault="006F72F3">
      <w:pPr>
        <w:spacing w:after="0" w:line="259" w:lineRule="auto"/>
        <w:ind w:left="0" w:firstLine="0"/>
        <w:jc w:val="left"/>
        <w:rPr>
          <w:szCs w:val="22"/>
        </w:rPr>
      </w:pPr>
    </w:p>
    <w:p w:rsidRPr="006560EB" w:rsidR="006F72F3" w:rsidRDefault="00AC0F8E">
      <w:pPr>
        <w:ind w:left="0" w:right="91"/>
        <w:rPr>
          <w:szCs w:val="22"/>
        </w:rPr>
      </w:pPr>
      <w:r w:rsidRPr="006560EB">
        <w:t>II.</w:t>
      </w:r>
    </w:p>
    <w:p w:rsidRPr="006560EB" w:rsidR="006F72F3" w:rsidRDefault="00AC0F8E">
      <w:pPr>
        <w:numPr>
          <w:ilvl w:val="0"/>
          <w:numId w:val="1"/>
        </w:numPr>
        <w:ind w:right="91" w:hanging="360"/>
        <w:rPr>
          <w:szCs w:val="22"/>
        </w:rPr>
      </w:pPr>
      <w:r w:rsidRPr="006560EB">
        <w:t>I declare that the abovementioned taxable person meets all the conditions for determining the tax base by reference to normalised expenses laid down by the law governing corporate taxation.</w:t>
      </w:r>
    </w:p>
    <w:p w:rsidRPr="006560EB" w:rsidR="006F72F3" w:rsidRDefault="006F72F3">
      <w:pPr>
        <w:spacing w:after="21" w:line="259" w:lineRule="auto"/>
        <w:ind w:left="365" w:firstLine="0"/>
        <w:jc w:val="left"/>
        <w:rPr>
          <w:szCs w:val="22"/>
        </w:rPr>
      </w:pPr>
    </w:p>
    <w:p w:rsidRPr="006560EB" w:rsidR="006F72F3" w:rsidRDefault="00AC0F8E">
      <w:pPr>
        <w:numPr>
          <w:ilvl w:val="0"/>
          <w:numId w:val="1"/>
        </w:numPr>
        <w:spacing w:after="31"/>
        <w:ind w:right="91" w:hanging="360"/>
        <w:rPr>
          <w:szCs w:val="22"/>
        </w:rPr>
      </w:pPr>
      <w:r w:rsidRPr="006560EB">
        <w:t>Pursuant to Article 67d ZDDPO‑2, I disclose:</w:t>
      </w:r>
    </w:p>
    <w:p w:rsidRPr="006560EB" w:rsidR="006F72F3" w:rsidRDefault="00AC0F8E">
      <w:pPr>
        <w:numPr>
          <w:ilvl w:val="1"/>
          <w:numId w:val="1"/>
        </w:numPr>
        <w:spacing w:after="28"/>
        <w:ind w:right="91" w:hanging="360"/>
        <w:rPr>
          <w:szCs w:val="22"/>
        </w:rPr>
      </w:pPr>
      <w:r w:rsidRPr="006560EB">
        <w:t>that during the 18 months preceding the declaration of the determination of the tax base by reference to normalised expenses, the abovementioned taxable person:</w:t>
      </w:r>
    </w:p>
    <w:p w:rsidRPr="006560EB" w:rsidR="006F72F3" w:rsidRDefault="00AC0F8E">
      <w:pPr>
        <w:numPr>
          <w:ilvl w:val="2"/>
          <w:numId w:val="1"/>
        </w:numPr>
        <w:spacing w:after="36"/>
        <w:ind w:right="91" w:hanging="418"/>
        <w:rPr>
          <w:szCs w:val="22"/>
        </w:rPr>
      </w:pPr>
      <w:r w:rsidRPr="006560EB">
        <w:t>did not set up a company, institution or comparable entity under foreign law,</w:t>
      </w:r>
    </w:p>
    <w:p w:rsidRPr="006560EB" w:rsidR="006F72F3" w:rsidRDefault="00AC0F8E">
      <w:pPr>
        <w:numPr>
          <w:ilvl w:val="2"/>
          <w:numId w:val="1"/>
        </w:numPr>
        <w:spacing w:after="33"/>
        <w:ind w:right="91" w:hanging="418"/>
        <w:rPr>
          <w:szCs w:val="22"/>
        </w:rPr>
      </w:pPr>
      <w:r w:rsidRPr="006560EB">
        <w:t>was not converted by the transfer of one or more businesses to a natural person performing an activity, if that natural person previously held a share in the taxable person, or to a company with the acquisition of a shareholding,</w:t>
      </w:r>
    </w:p>
    <w:p w:rsidRPr="006560EB" w:rsidR="006F72F3" w:rsidRDefault="00AC0F8E">
      <w:pPr>
        <w:numPr>
          <w:ilvl w:val="2"/>
          <w:numId w:val="1"/>
        </w:numPr>
        <w:ind w:right="91" w:hanging="418"/>
        <w:rPr>
          <w:szCs w:val="22"/>
        </w:rPr>
      </w:pPr>
      <w:r w:rsidRPr="006560EB">
        <w:t>did not commence business on the basis of the transfer of one or more businesses from another natural or legal person;</w:t>
      </w:r>
    </w:p>
    <w:p w:rsidRPr="006560EB" w:rsidR="006F72F3" w:rsidRDefault="00AC0F8E">
      <w:pPr>
        <w:numPr>
          <w:ilvl w:val="1"/>
          <w:numId w:val="1"/>
        </w:numPr>
        <w:spacing w:after="55"/>
        <w:ind w:right="91" w:hanging="360"/>
        <w:rPr>
          <w:szCs w:val="22"/>
        </w:rPr>
      </w:pPr>
      <w:r w:rsidRPr="006560EB">
        <w:t>that, as a result of a circumstance as set out in Article 67</w:t>
      </w:r>
      <w:proofErr w:type="gramStart"/>
      <w:r w:rsidRPr="006560EB">
        <w:t>d(</w:t>
      </w:r>
      <w:proofErr w:type="gramEnd"/>
      <w:r w:rsidRPr="006560EB">
        <w:t>1) ZDDPO‑2 (referred to under II.2.a) that occurred during the 18 months preceding the declaration of the determination of the tax base by reference to normalised expenses, the income of the abovementioned taxable person under Article 67b ZDDPO-2 also includes the revenues referred to in Article 67d(2) ZDDPO-2:</w:t>
      </w:r>
    </w:p>
    <w:p w:rsidRPr="006560EB" w:rsidR="006F72F3" w:rsidRDefault="00AC0F8E">
      <w:pPr>
        <w:numPr>
          <w:ilvl w:val="2"/>
          <w:numId w:val="3"/>
        </w:numPr>
        <w:spacing w:after="84"/>
        <w:ind w:right="91" w:hanging="350"/>
        <w:rPr>
          <w:szCs w:val="22"/>
        </w:rPr>
      </w:pPr>
      <w:r w:rsidRPr="006560EB">
        <w:t>the income of the abovementioned taxable person and of a company, institution or comparable entity under foreign law, established in accordance with accounting rules;</w:t>
      </w:r>
    </w:p>
    <w:p w:rsidRPr="006560EB" w:rsidR="006F72F3" w:rsidRDefault="00AC0F8E">
      <w:pPr>
        <w:numPr>
          <w:ilvl w:val="2"/>
          <w:numId w:val="3"/>
        </w:numPr>
        <w:spacing w:after="90"/>
        <w:ind w:right="91" w:hanging="350"/>
        <w:rPr>
          <w:szCs w:val="22"/>
        </w:rPr>
      </w:pPr>
      <w:r w:rsidRPr="006560EB">
        <w:t>the income of the abovementioned taxable person and of the company that has taken over one or more businesses of the taxable person;</w:t>
      </w:r>
    </w:p>
    <w:p w:rsidRPr="006560EB" w:rsidR="006F72F3" w:rsidRDefault="00AC0F8E">
      <w:pPr>
        <w:numPr>
          <w:ilvl w:val="2"/>
          <w:numId w:val="3"/>
        </w:numPr>
        <w:spacing w:after="27"/>
        <w:ind w:right="91" w:hanging="350"/>
        <w:rPr>
          <w:szCs w:val="22"/>
        </w:rPr>
      </w:pPr>
      <w:r w:rsidRPr="006560EB">
        <w:t>the income of the abovementioned taxable person and of the entity that has transferred one or more businesses to the taxable person;</w:t>
      </w:r>
    </w:p>
    <w:p w:rsidRPr="006560EB" w:rsidR="006F72F3" w:rsidRDefault="00AC0F8E">
      <w:pPr>
        <w:ind w:left="1095" w:right="91"/>
        <w:rPr>
          <w:szCs w:val="22"/>
        </w:rPr>
      </w:pPr>
      <w:r w:rsidRPr="006560EB">
        <w:lastRenderedPageBreak/>
        <w:t>achieved in the calendar year preceding the tax period for which determination of the tax base by reference to normalised expenses is being claimed.</w:t>
      </w:r>
    </w:p>
    <w:p w:rsidRPr="006560EB" w:rsidR="006F72F3" w:rsidRDefault="006F72F3">
      <w:pPr>
        <w:spacing w:after="0" w:line="259" w:lineRule="auto"/>
        <w:ind w:left="0" w:firstLine="0"/>
        <w:jc w:val="left"/>
        <w:rPr>
          <w:szCs w:val="22"/>
        </w:rPr>
      </w:pPr>
    </w:p>
    <w:p w:rsidRPr="006560EB" w:rsidR="006F72F3" w:rsidRDefault="00AC0F8E">
      <w:pPr>
        <w:ind w:left="0" w:right="91"/>
        <w:rPr>
          <w:szCs w:val="22"/>
        </w:rPr>
      </w:pPr>
      <w:r w:rsidRPr="006560EB">
        <w:t>III.</w:t>
      </w:r>
    </w:p>
    <w:p w:rsidRPr="006560EB" w:rsidR="006F72F3" w:rsidRDefault="00AC0F8E">
      <w:pPr>
        <w:spacing w:after="0" w:line="259" w:lineRule="auto"/>
        <w:ind w:left="5" w:firstLine="0"/>
        <w:jc w:val="left"/>
        <w:rPr>
          <w:szCs w:val="22"/>
        </w:rPr>
      </w:pPr>
      <w:r w:rsidRPr="006560EB">
        <w:t>Pursuant to Article 67</w:t>
      </w:r>
      <w:proofErr w:type="gramStart"/>
      <w:r w:rsidRPr="006560EB">
        <w:t>d(</w:t>
      </w:r>
      <w:proofErr w:type="gramEnd"/>
      <w:r w:rsidRPr="006560EB">
        <w:t>4) to (7) ZDDPO‑2, I disclose:</w:t>
      </w:r>
    </w:p>
    <w:p w:rsidRPr="006560EB" w:rsidR="006F72F3" w:rsidRDefault="006F72F3">
      <w:pPr>
        <w:spacing w:after="478" w:line="259" w:lineRule="auto"/>
        <w:ind w:left="0" w:firstLine="0"/>
        <w:jc w:val="right"/>
        <w:rPr>
          <w:szCs w:val="22"/>
        </w:rPr>
      </w:pPr>
    </w:p>
    <w:p w:rsidRPr="006560EB" w:rsidR="006F72F3" w:rsidRDefault="00AC0F8E">
      <w:pPr>
        <w:numPr>
          <w:ilvl w:val="1"/>
          <w:numId w:val="2"/>
        </w:numPr>
        <w:spacing w:after="33"/>
        <w:ind w:right="91" w:hanging="360"/>
        <w:rPr>
          <w:szCs w:val="22"/>
        </w:rPr>
      </w:pPr>
      <w:r w:rsidRPr="006560EB">
        <w:t>that the abovementioned taxable person does not have related parties as defined in Article 67</w:t>
      </w:r>
      <w:proofErr w:type="gramStart"/>
      <w:r w:rsidRPr="006560EB">
        <w:t>d(</w:t>
      </w:r>
      <w:proofErr w:type="gramEnd"/>
      <w:r w:rsidRPr="006560EB">
        <w:t>5) ZDDPO-2 that establish their tax base on an income basis in accordance with accounting standards;</w:t>
      </w:r>
    </w:p>
    <w:p w:rsidRPr="006560EB" w:rsidR="006F72F3" w:rsidRDefault="00AC0F8E">
      <w:pPr>
        <w:numPr>
          <w:ilvl w:val="1"/>
          <w:numId w:val="2"/>
        </w:numPr>
        <w:spacing w:after="29"/>
        <w:ind w:right="91" w:hanging="360"/>
        <w:rPr>
          <w:szCs w:val="22"/>
        </w:rPr>
      </w:pPr>
      <w:r w:rsidRPr="006560EB">
        <w:t>that the abovementioned taxable person has one or more related parties as defined in Article 67</w:t>
      </w:r>
      <w:proofErr w:type="gramStart"/>
      <w:r w:rsidRPr="006560EB">
        <w:t>d(</w:t>
      </w:r>
      <w:proofErr w:type="gramEnd"/>
      <w:r w:rsidRPr="006560EB">
        <w:t>5) ZDDPO-2 that establish their tax base on an income basis in accordance with accounting standards.</w:t>
      </w:r>
    </w:p>
    <w:p w:rsidRPr="006560EB" w:rsidR="006F72F3" w:rsidRDefault="006F72F3">
      <w:pPr>
        <w:spacing w:after="0" w:line="259" w:lineRule="auto"/>
        <w:ind w:left="5" w:firstLine="0"/>
        <w:jc w:val="left"/>
        <w:rPr>
          <w:szCs w:val="22"/>
        </w:rPr>
      </w:pPr>
    </w:p>
    <w:p w:rsidRPr="006560EB" w:rsidR="006F72F3" w:rsidRDefault="006F72F3">
      <w:pPr>
        <w:spacing w:after="0" w:line="259" w:lineRule="auto"/>
        <w:ind w:left="5" w:firstLine="0"/>
        <w:jc w:val="left"/>
        <w:rPr>
          <w:szCs w:val="22"/>
        </w:rPr>
      </w:pPr>
    </w:p>
    <w:tbl>
      <w:tblPr>
        <w:tblStyle w:val="TableGrid"/>
        <w:tblW w:w="8931" w:type="dxa"/>
        <w:tblInd w:w="0" w:type="dxa"/>
        <w:tblLook w:val="04A0" w:firstRow="1" w:lastRow="0" w:firstColumn="1" w:lastColumn="0" w:noHBand="0" w:noVBand="1"/>
      </w:tblPr>
      <w:tblGrid>
        <w:gridCol w:w="4719"/>
        <w:gridCol w:w="4212"/>
      </w:tblGrid>
      <w:tr w:rsidRPr="006560EB" w:rsidR="006F72F3" w:rsidTr="006560EB">
        <w:trPr>
          <w:trHeight w:val="259"/>
        </w:trPr>
        <w:tc>
          <w:tcPr>
            <w:tcW w:w="4719" w:type="dxa"/>
            <w:tcBorders>
              <w:top w:val="nil"/>
              <w:left w:val="nil"/>
              <w:bottom w:val="nil"/>
              <w:right w:val="nil"/>
            </w:tcBorders>
          </w:tcPr>
          <w:p w:rsidRPr="006560EB" w:rsidR="006F72F3" w:rsidP="006560EB" w:rsidRDefault="00AC0F8E">
            <w:pPr>
              <w:spacing w:after="240" w:line="259" w:lineRule="auto"/>
              <w:ind w:left="5" w:firstLine="0"/>
              <w:jc w:val="left"/>
              <w:rPr>
                <w:szCs w:val="22"/>
              </w:rPr>
            </w:pPr>
            <w:r w:rsidRPr="006560EB">
              <w:t xml:space="preserve">Date: ………………………  </w:t>
            </w:r>
            <w:bookmarkStart w:name="_GoBack" w:id="0"/>
            <w:bookmarkEnd w:id="0"/>
          </w:p>
        </w:tc>
        <w:tc>
          <w:tcPr>
            <w:tcW w:w="4212" w:type="dxa"/>
            <w:tcBorders>
              <w:top w:val="nil"/>
              <w:left w:val="nil"/>
              <w:bottom w:val="nil"/>
              <w:right w:val="nil"/>
            </w:tcBorders>
          </w:tcPr>
          <w:p w:rsidRPr="006560EB" w:rsidR="006F72F3" w:rsidRDefault="006F72F3">
            <w:pPr>
              <w:spacing w:after="0" w:line="259" w:lineRule="auto"/>
              <w:ind w:left="0" w:firstLine="0"/>
              <w:jc w:val="left"/>
              <w:rPr>
                <w:szCs w:val="22"/>
              </w:rPr>
            </w:pPr>
          </w:p>
        </w:tc>
      </w:tr>
      <w:tr w:rsidRPr="006560EB" w:rsidR="006F72F3" w:rsidTr="006560EB">
        <w:trPr>
          <w:trHeight w:val="820"/>
        </w:trPr>
        <w:tc>
          <w:tcPr>
            <w:tcW w:w="4719" w:type="dxa"/>
            <w:tcBorders>
              <w:top w:val="nil"/>
              <w:left w:val="nil"/>
              <w:bottom w:val="nil"/>
              <w:right w:val="nil"/>
            </w:tcBorders>
          </w:tcPr>
          <w:p w:rsidRPr="006560EB" w:rsidR="006F72F3" w:rsidRDefault="00AC0F8E">
            <w:pPr>
              <w:spacing w:after="0" w:line="259" w:lineRule="auto"/>
              <w:ind w:left="5" w:firstLine="0"/>
              <w:jc w:val="left"/>
              <w:rPr>
                <w:szCs w:val="22"/>
              </w:rPr>
            </w:pPr>
            <w:r w:rsidRPr="006560EB">
              <w:t xml:space="preserve">  </w:t>
            </w:r>
          </w:p>
        </w:tc>
        <w:tc>
          <w:tcPr>
            <w:tcW w:w="4212" w:type="dxa"/>
            <w:tcBorders>
              <w:top w:val="nil"/>
              <w:left w:val="nil"/>
              <w:bottom w:val="nil"/>
              <w:right w:val="nil"/>
            </w:tcBorders>
          </w:tcPr>
          <w:p w:rsidRPr="006560EB" w:rsidR="006F72F3" w:rsidRDefault="00AC0F8E">
            <w:pPr>
              <w:spacing w:after="0" w:line="259" w:lineRule="auto"/>
              <w:ind w:left="0" w:firstLine="0"/>
              <w:rPr>
                <w:szCs w:val="22"/>
              </w:rPr>
            </w:pPr>
            <w:r w:rsidRPr="006560EB">
              <w:t>…………………………………………</w:t>
            </w:r>
          </w:p>
          <w:p w:rsidRPr="006560EB" w:rsidR="006F72F3" w:rsidRDefault="00AC0F8E">
            <w:pPr>
              <w:spacing w:after="0" w:line="259" w:lineRule="auto"/>
              <w:ind w:left="0" w:firstLine="0"/>
              <w:jc w:val="left"/>
              <w:rPr>
                <w:szCs w:val="22"/>
              </w:rPr>
            </w:pPr>
            <w:r w:rsidRPr="006560EB">
              <w:t>(name and surname of responsible person)</w:t>
            </w:r>
          </w:p>
          <w:p w:rsidRPr="006560EB" w:rsidR="006F72F3" w:rsidP="006560EB" w:rsidRDefault="006F72F3">
            <w:pPr>
              <w:spacing w:after="240" w:line="259" w:lineRule="auto"/>
              <w:ind w:left="0" w:firstLine="0"/>
              <w:jc w:val="left"/>
              <w:rPr>
                <w:szCs w:val="22"/>
              </w:rPr>
            </w:pPr>
          </w:p>
        </w:tc>
      </w:tr>
      <w:tr w:rsidRPr="006560EB" w:rsidR="006F72F3" w:rsidTr="006560EB">
        <w:trPr>
          <w:trHeight w:val="1826"/>
        </w:trPr>
        <w:tc>
          <w:tcPr>
            <w:tcW w:w="4719" w:type="dxa"/>
            <w:tcBorders>
              <w:top w:val="nil"/>
              <w:left w:val="nil"/>
              <w:bottom w:val="nil"/>
              <w:right w:val="nil"/>
            </w:tcBorders>
          </w:tcPr>
          <w:p w:rsidRPr="006560EB" w:rsidR="006F72F3" w:rsidRDefault="006F72F3">
            <w:pPr>
              <w:spacing w:after="240" w:line="259" w:lineRule="auto"/>
              <w:ind w:left="5" w:firstLine="0"/>
              <w:jc w:val="left"/>
              <w:rPr>
                <w:szCs w:val="22"/>
              </w:rPr>
            </w:pPr>
          </w:p>
          <w:p w:rsidRPr="006560EB" w:rsidR="006F72F3" w:rsidRDefault="006F72F3">
            <w:pPr>
              <w:spacing w:after="250" w:line="259" w:lineRule="auto"/>
              <w:ind w:left="5" w:firstLine="0"/>
              <w:jc w:val="left"/>
              <w:rPr>
                <w:szCs w:val="22"/>
              </w:rPr>
            </w:pPr>
          </w:p>
          <w:p w:rsidRPr="006560EB" w:rsidR="006F72F3" w:rsidRDefault="006F72F3">
            <w:pPr>
              <w:spacing w:after="29" w:line="259" w:lineRule="auto"/>
              <w:ind w:left="0" w:firstLine="0"/>
              <w:jc w:val="left"/>
              <w:rPr>
                <w:szCs w:val="22"/>
              </w:rPr>
            </w:pPr>
          </w:p>
          <w:p w:rsidRPr="006560EB" w:rsidR="006F72F3" w:rsidRDefault="00AC0F8E">
            <w:pPr>
              <w:spacing w:after="0" w:line="259" w:lineRule="auto"/>
              <w:ind w:left="5" w:firstLine="0"/>
              <w:jc w:val="left"/>
              <w:rPr>
                <w:szCs w:val="22"/>
              </w:rPr>
            </w:pPr>
            <w:r w:rsidRPr="006560EB">
              <w:rPr>
                <w:b/>
              </w:rPr>
              <w:t>Method of completing the declaration:</w:t>
            </w:r>
          </w:p>
          <w:p w:rsidRPr="006560EB" w:rsidR="006F72F3" w:rsidRDefault="006F72F3">
            <w:pPr>
              <w:spacing w:after="0" w:line="259" w:lineRule="auto"/>
              <w:ind w:left="0" w:firstLine="0"/>
              <w:jc w:val="left"/>
              <w:rPr>
                <w:szCs w:val="22"/>
              </w:rPr>
            </w:pPr>
          </w:p>
        </w:tc>
        <w:tc>
          <w:tcPr>
            <w:tcW w:w="4212" w:type="dxa"/>
            <w:tcBorders>
              <w:top w:val="nil"/>
              <w:left w:val="nil"/>
              <w:bottom w:val="nil"/>
              <w:right w:val="nil"/>
            </w:tcBorders>
          </w:tcPr>
          <w:p w:rsidRPr="006560EB" w:rsidR="006F72F3" w:rsidRDefault="00AC0F8E">
            <w:pPr>
              <w:spacing w:after="0" w:line="259" w:lineRule="auto"/>
              <w:ind w:left="0" w:firstLine="0"/>
              <w:rPr>
                <w:szCs w:val="22"/>
              </w:rPr>
            </w:pPr>
            <w:r w:rsidRPr="006560EB">
              <w:t>…………………………………………</w:t>
            </w:r>
          </w:p>
          <w:p w:rsidRPr="006560EB" w:rsidR="006F72F3" w:rsidRDefault="00AC0F8E">
            <w:pPr>
              <w:spacing w:after="0" w:line="259" w:lineRule="auto"/>
              <w:ind w:left="0" w:firstLine="0"/>
              <w:jc w:val="left"/>
              <w:rPr>
                <w:szCs w:val="22"/>
              </w:rPr>
            </w:pPr>
            <w:r w:rsidRPr="006560EB">
              <w:t xml:space="preserve">(signature)  </w:t>
            </w:r>
          </w:p>
        </w:tc>
      </w:tr>
    </w:tbl>
    <w:p w:rsidRPr="006560EB" w:rsidR="006F72F3" w:rsidRDefault="00AC0F8E">
      <w:pPr>
        <w:ind w:left="0" w:right="91"/>
        <w:rPr>
          <w:szCs w:val="22"/>
        </w:rPr>
      </w:pPr>
      <w:r w:rsidRPr="006560EB">
        <w:t>YYYY is the tax period for which that tax return is submitted.</w:t>
      </w:r>
    </w:p>
    <w:p w:rsidRPr="006560EB" w:rsidR="006F72F3" w:rsidRDefault="006F72F3">
      <w:pPr>
        <w:spacing w:after="35" w:line="259" w:lineRule="auto"/>
        <w:ind w:left="5" w:firstLine="0"/>
        <w:jc w:val="left"/>
        <w:rPr>
          <w:szCs w:val="22"/>
        </w:rPr>
      </w:pPr>
    </w:p>
    <w:p w:rsidRPr="006560EB" w:rsidR="006F72F3" w:rsidRDefault="00AC0F8E">
      <w:pPr>
        <w:ind w:left="0" w:right="91"/>
        <w:rPr>
          <w:szCs w:val="22"/>
        </w:rPr>
      </w:pPr>
      <w:r w:rsidRPr="006560EB">
        <w:t>Taxable persons must mark the declaration referred to in point I, the declaration referred to in point II.1., the relevant disclosure referred to in point II.2. (disclosure a) or disclosure b)) and the relevant disclosure referred to in point III (disclosure a) or disclosure b)).</w:t>
      </w:r>
    </w:p>
    <w:p w:rsidRPr="006560EB" w:rsidR="006F72F3" w:rsidRDefault="006F72F3">
      <w:pPr>
        <w:spacing w:after="0" w:line="259" w:lineRule="auto"/>
        <w:ind w:left="0" w:firstLine="0"/>
        <w:jc w:val="left"/>
        <w:rPr>
          <w:szCs w:val="22"/>
        </w:rPr>
      </w:pPr>
    </w:p>
    <w:sectPr w:rsidRPr="006560EB" w:rsidR="006F72F3">
      <w:pgSz w:w="11906" w:h="16838"/>
      <w:pgMar w:top="713" w:right="1361" w:bottom="2200" w:left="141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0EB" w:rsidRPr="006560EB" w:rsidRDefault="006560EB" w:rsidP="006560EB">
      <w:pPr>
        <w:spacing w:after="0" w:line="240" w:lineRule="auto"/>
      </w:pPr>
      <w:r w:rsidRPr="006560EB">
        <w:separator/>
      </w:r>
    </w:p>
  </w:endnote>
  <w:endnote w:type="continuationSeparator" w:id="0">
    <w:p w:rsidR="006560EB" w:rsidRPr="006560EB" w:rsidRDefault="006560EB" w:rsidP="006560EB">
      <w:pPr>
        <w:spacing w:after="0" w:line="240" w:lineRule="auto"/>
      </w:pPr>
      <w:r w:rsidRPr="006560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0EB" w:rsidRPr="006560EB" w:rsidRDefault="006560EB" w:rsidP="006560EB">
      <w:pPr>
        <w:spacing w:after="0" w:line="240" w:lineRule="auto"/>
      </w:pPr>
      <w:r w:rsidRPr="006560EB">
        <w:separator/>
      </w:r>
    </w:p>
  </w:footnote>
  <w:footnote w:type="continuationSeparator" w:id="0">
    <w:p w:rsidR="006560EB" w:rsidRPr="006560EB" w:rsidRDefault="006560EB" w:rsidP="006560EB">
      <w:pPr>
        <w:spacing w:after="0" w:line="240" w:lineRule="auto"/>
      </w:pPr>
      <w:r w:rsidRPr="006560EB">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D55A2"/>
    <w:multiLevelType w:val="hybridMultilevel"/>
    <w:tmpl w:val="E01056F2"/>
    <w:lvl w:ilvl="0" w:tplc="F2C89E8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1EDC74">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D0634C">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00B134">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4881E4">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E036C4">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96CA08">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C0AD36">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CCC9E4">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0D3792"/>
    <w:multiLevelType w:val="hybridMultilevel"/>
    <w:tmpl w:val="45426F30"/>
    <w:lvl w:ilvl="0" w:tplc="FE92BB8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801C82">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CA3678">
      <w:start w:val="1"/>
      <w:numFmt w:val="lowerRoman"/>
      <w:lvlText w:val="%3."/>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B0A2F8">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D00584">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D85018">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CE52F4">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5ED58A">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9CB07E">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3F1065"/>
    <w:multiLevelType w:val="hybridMultilevel"/>
    <w:tmpl w:val="5FB89510"/>
    <w:lvl w:ilvl="0" w:tplc="09A08C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24361E">
      <w:start w:val="1"/>
      <w:numFmt w:val="bullet"/>
      <w:lvlText w:val="o"/>
      <w:lvlJc w:val="left"/>
      <w:pPr>
        <w:ind w:left="1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324C08">
      <w:start w:val="1"/>
      <w:numFmt w:val="bullet"/>
      <w:lvlText w:val="•"/>
      <w:lvlJc w:val="left"/>
      <w:pPr>
        <w:ind w:left="1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5A6F94">
      <w:start w:val="1"/>
      <w:numFmt w:val="bullet"/>
      <w:lvlText w:val="•"/>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0E3254">
      <w:start w:val="1"/>
      <w:numFmt w:val="bullet"/>
      <w:lvlText w:val="o"/>
      <w:lvlJc w:val="left"/>
      <w:pPr>
        <w:ind w:left="3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8ED3D6">
      <w:start w:val="1"/>
      <w:numFmt w:val="bullet"/>
      <w:lvlText w:val="▪"/>
      <w:lvlJc w:val="left"/>
      <w:pPr>
        <w:ind w:left="3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DC6AFC">
      <w:start w:val="1"/>
      <w:numFmt w:val="bullet"/>
      <w:lvlText w:val="•"/>
      <w:lvlJc w:val="left"/>
      <w:pPr>
        <w:ind w:left="4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20EFDC">
      <w:start w:val="1"/>
      <w:numFmt w:val="bullet"/>
      <w:lvlText w:val="o"/>
      <w:lvlJc w:val="left"/>
      <w:pPr>
        <w:ind w:left="5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42350C">
      <w:start w:val="1"/>
      <w:numFmt w:val="bullet"/>
      <w:lvlText w:val="▪"/>
      <w:lvlJc w:val="left"/>
      <w:pPr>
        <w:ind w:left="61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2F3"/>
    <w:rsid w:val="006560EB"/>
    <w:rsid w:val="006F72F3"/>
    <w:rsid w:val="007A6DD5"/>
    <w:rsid w:val="0088428F"/>
    <w:rsid w:val="00AC0F8E"/>
    <w:rsid w:val="00FA5DE7"/>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DC057-9609-47BC-B819-F64AB963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sl-SI"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0"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56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0EB"/>
    <w:rPr>
      <w:rFonts w:ascii="Times New Roman" w:eastAsia="Times New Roman" w:hAnsi="Times New Roman" w:cs="Times New Roman"/>
      <w:color w:val="000000"/>
    </w:rPr>
  </w:style>
  <w:style w:type="paragraph" w:styleId="Footer">
    <w:name w:val="footer"/>
    <w:basedOn w:val="Normal"/>
    <w:link w:val="FooterChar"/>
    <w:uiPriority w:val="99"/>
    <w:unhideWhenUsed/>
    <w:rsid w:val="00656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0EB"/>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3</ap:TotalTime>
  <ap:Pages>2</ap:Pages>
  <ap:Words>586</ap:Words>
  <ap:Characters>3224</ap:Characters>
  <ap:Application>Microsoft Office Word</ap:Application>
  <ap:DocSecurity>0</ap:DocSecurity>
  <ap:Lines>26</ap:Lines>
  <ap:Paragraphs>7</ap:Paragraphs>
  <ap:ScaleCrop>false</ap:ScaleCrop>
  <ap:HeadingPairs>
    <vt:vector baseType="variant" size="2">
      <vt:variant>
        <vt:lpstr>Naslov</vt:lpstr>
      </vt:variant>
      <vt:variant>
        <vt:i4>1</vt:i4>
      </vt:variant>
    </vt:vector>
  </ap:HeadingPairs>
  <ap:TitlesOfParts>
    <vt:vector baseType="lpstr" size="1">
      <vt:lpstr/>
    </vt:vector>
  </ap:TitlesOfParts>
  <ap:Company>CDT</ap:Company>
  <ap:LinksUpToDate>false</ap:LinksUpToDate>
  <ap:CharactersWithSpaces>3803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10</revision>
  <dcterms:created xsi:type="dcterms:W3CDTF">2022-11-24T07:09:00.0000000Z</dcterms:created>
  <dcterms:modified xsi:type="dcterms:W3CDTF">2022-11-29T14:12:00.0000000Z</dcterms:modified>
</coreProperties>
</file>