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1EF8" w:rsidR="00B77E00" w:rsidRDefault="00814350">
      <w:pPr>
        <w:pStyle w:val="Heading1"/>
        <w:spacing w:after="5"/>
        <w:ind w:left="188" w:hanging="10"/>
      </w:pPr>
      <w:bookmarkStart w:name="_GoBack" w:id="0"/>
      <w:bookmarkEnd w:id="0"/>
      <w:r w:rsidRPr="00541EF8">
        <w:rPr>
          <w:b/>
          <w:sz w:val="22"/>
        </w:rPr>
        <w:t>NOTIFICATION OF A COUNTRY-BY-COUNTRY REPORTING OBLIGATION OF A MULTINATIONAL GROUP</w:t>
      </w:r>
    </w:p>
    <w:p w:rsidRPr="00541EF8" w:rsidR="00B77E00" w:rsidRDefault="00814350">
      <w:pPr>
        <w:spacing w:after="9" w:line="259" w:lineRule="auto"/>
        <w:ind w:left="0" w:right="6" w:firstLine="0"/>
        <w:jc w:val="center"/>
      </w:pPr>
      <w:r w:rsidRPr="00541EF8">
        <w:rPr>
          <w:b/>
        </w:rPr>
        <w:t xml:space="preserve">OF ENTERPRISES – </w:t>
      </w:r>
      <w:proofErr w:type="spellStart"/>
      <w:r w:rsidRPr="00541EF8">
        <w:rPr>
          <w:b/>
        </w:rPr>
        <w:t>CbCR</w:t>
      </w:r>
      <w:proofErr w:type="spellEnd"/>
      <w:r w:rsidRPr="00541EF8">
        <w:rPr>
          <w:b/>
        </w:rPr>
        <w:t xml:space="preserve"> NOTIFICATION</w:t>
      </w:r>
    </w:p>
    <w:p w:rsidRPr="00541EF8" w:rsidR="00B77E00" w:rsidRDefault="00B77E00">
      <w:pPr>
        <w:spacing w:after="0" w:line="259" w:lineRule="auto"/>
        <w:ind w:left="0" w:firstLine="0"/>
        <w:jc w:val="left"/>
      </w:pPr>
    </w:p>
    <w:p w:rsidRPr="00541EF8" w:rsidR="00B77E00" w:rsidRDefault="00814350">
      <w:pPr>
        <w:ind w:left="-5"/>
      </w:pPr>
      <w:r w:rsidRPr="00541EF8">
        <w:t>Taxable person: ____________________ Taxable person’s tax number: ________________ Tax period from _____________to ________________</w:t>
      </w:r>
    </w:p>
    <w:p w:rsidRPr="00541EF8" w:rsidR="00B77E00" w:rsidRDefault="00B77E00">
      <w:pPr>
        <w:spacing w:after="0" w:line="259" w:lineRule="auto"/>
        <w:ind w:left="0" w:firstLine="0"/>
        <w:jc w:val="left"/>
      </w:pPr>
    </w:p>
    <w:p w:rsidRPr="00541EF8" w:rsidR="00B77E00" w:rsidRDefault="00814350">
      <w:pPr>
        <w:spacing w:after="127"/>
        <w:ind w:left="-5"/>
      </w:pPr>
      <w:r w:rsidRPr="00541EF8">
        <w:t>The taxable person is part of a multinational group of enterprises (MNE Group) whose total consolidated group revenue during the fiscal year immediately preceding the reporting fiscal year is equal to or greater than EUR 750 000 000 (mark as appropriate):</w:t>
      </w:r>
    </w:p>
    <w:p w:rsidRPr="00541EF8" w:rsidR="00B77E00" w:rsidRDefault="00814350">
      <w:pPr>
        <w:spacing w:after="0" w:line="259" w:lineRule="auto"/>
        <w:ind w:left="0" w:firstLine="0"/>
        <w:jc w:val="left"/>
      </w:pPr>
      <w:r w:rsidRPr="00541EF8">
        <w:rPr>
          <w:sz w:val="32"/>
        </w:rPr>
        <w:t>□</w:t>
      </w:r>
    </w:p>
    <w:p w:rsidRPr="00541EF8" w:rsidR="00B77E00" w:rsidRDefault="00814350">
      <w:pPr>
        <w:numPr>
          <w:ilvl w:val="0"/>
          <w:numId w:val="1"/>
        </w:numPr>
        <w:spacing w:line="259" w:lineRule="auto"/>
        <w:ind w:hanging="360"/>
        <w:jc w:val="left"/>
      </w:pPr>
      <w:r w:rsidRPr="00541EF8">
        <w:rPr>
          <w:b/>
        </w:rPr>
        <w:t>Details of the MNE Group of which you are a constituent entity:</w:t>
      </w:r>
    </w:p>
    <w:tbl>
      <w:tblPr>
        <w:tblStyle w:val="TableGrid"/>
        <w:tblW w:w="9068" w:type="dxa"/>
        <w:tblInd w:w="6" w:type="dxa"/>
        <w:tblCellMar>
          <w:top w:w="6" w:type="dxa"/>
          <w:right w:w="67" w:type="dxa"/>
        </w:tblCellMar>
        <w:tblLook w:val="04A0" w:firstRow="1" w:lastRow="0" w:firstColumn="1" w:lastColumn="0" w:noHBand="0" w:noVBand="1"/>
      </w:tblPr>
      <w:tblGrid>
        <w:gridCol w:w="560"/>
        <w:gridCol w:w="3402"/>
        <w:gridCol w:w="5106"/>
      </w:tblGrid>
      <w:tr w:rsidRPr="00541EF8" w:rsidR="00B77E00">
        <w:trPr>
          <w:trHeight w:val="298"/>
        </w:trPr>
        <w:tc>
          <w:tcPr>
            <w:tcW w:w="560" w:type="dxa"/>
            <w:tcBorders>
              <w:top w:val="single" w:color="000000" w:sz="4" w:space="0"/>
              <w:left w:val="single" w:color="000000" w:sz="4" w:space="0"/>
              <w:bottom w:val="single" w:color="000000" w:sz="4" w:space="0"/>
              <w:right w:val="single" w:color="000000" w:sz="4" w:space="0"/>
            </w:tcBorders>
            <w:shd w:val="clear" w:color="auto" w:fill="D9D9D9"/>
          </w:tcPr>
          <w:p w:rsidRPr="00541EF8" w:rsidR="00B77E00" w:rsidRDefault="00814350">
            <w:pPr>
              <w:spacing w:after="0" w:line="259" w:lineRule="auto"/>
              <w:ind w:left="107" w:firstLine="0"/>
              <w:jc w:val="left"/>
            </w:pPr>
            <w:r w:rsidRPr="00541EF8">
              <w:t xml:space="preserve">1. </w:t>
            </w:r>
          </w:p>
        </w:tc>
        <w:tc>
          <w:tcPr>
            <w:tcW w:w="3402" w:type="dxa"/>
            <w:tcBorders>
              <w:top w:val="single" w:color="000000" w:sz="4" w:space="0"/>
              <w:left w:val="single" w:color="000000" w:sz="4" w:space="0"/>
              <w:bottom w:val="single" w:color="000000" w:sz="4" w:space="0"/>
              <w:right w:val="single" w:color="000000" w:sz="4" w:space="0"/>
            </w:tcBorders>
            <w:shd w:val="clear" w:color="auto" w:fill="D9D9D9"/>
          </w:tcPr>
          <w:p w:rsidRPr="00541EF8" w:rsidR="00B77E00" w:rsidRDefault="00814350">
            <w:pPr>
              <w:spacing w:after="0" w:line="259" w:lineRule="auto"/>
              <w:ind w:left="108" w:firstLine="0"/>
              <w:jc w:val="left"/>
            </w:pPr>
            <w:r w:rsidRPr="00541EF8">
              <w:t xml:space="preserve">Name of the MNE Group </w:t>
            </w:r>
          </w:p>
        </w:tc>
        <w:tc>
          <w:tcPr>
            <w:tcW w:w="5105" w:type="dxa"/>
            <w:tcBorders>
              <w:top w:val="single" w:color="000000" w:sz="4" w:space="0"/>
              <w:left w:val="single" w:color="000000" w:sz="4" w:space="0"/>
              <w:bottom w:val="single" w:color="000000" w:sz="4" w:space="0"/>
              <w:right w:val="single" w:color="000000" w:sz="4" w:space="0"/>
            </w:tcBorders>
          </w:tcPr>
          <w:p w:rsidRPr="00541EF8" w:rsidR="00B77E00" w:rsidRDefault="00814350">
            <w:pPr>
              <w:spacing w:after="0" w:line="259" w:lineRule="auto"/>
              <w:ind w:left="109" w:firstLine="0"/>
              <w:jc w:val="left"/>
            </w:pPr>
            <w:r w:rsidRPr="00541EF8">
              <w:t xml:space="preserve"> </w:t>
            </w:r>
          </w:p>
        </w:tc>
      </w:tr>
      <w:tr w:rsidRPr="00541EF8" w:rsidR="00B77E00">
        <w:trPr>
          <w:trHeight w:val="305"/>
        </w:trPr>
        <w:tc>
          <w:tcPr>
            <w:tcW w:w="560" w:type="dxa"/>
            <w:tcBorders>
              <w:top w:val="single" w:color="000000" w:sz="4" w:space="0"/>
              <w:left w:val="nil"/>
              <w:bottom w:val="single" w:color="000000" w:sz="4" w:space="0"/>
              <w:right w:val="nil"/>
            </w:tcBorders>
          </w:tcPr>
          <w:p w:rsidRPr="00541EF8" w:rsidR="00B77E00" w:rsidRDefault="00814350">
            <w:pPr>
              <w:spacing w:after="0" w:line="259" w:lineRule="auto"/>
              <w:ind w:left="-6" w:firstLine="0"/>
              <w:jc w:val="left"/>
            </w:pPr>
            <w:r w:rsidRPr="00541EF8">
              <w:t xml:space="preserve"> </w:t>
            </w:r>
          </w:p>
        </w:tc>
        <w:tc>
          <w:tcPr>
            <w:tcW w:w="3402" w:type="dxa"/>
            <w:tcBorders>
              <w:top w:val="single" w:color="000000" w:sz="4" w:space="0"/>
              <w:left w:val="nil"/>
              <w:bottom w:val="single" w:color="000000" w:sz="4" w:space="0"/>
              <w:right w:val="nil"/>
            </w:tcBorders>
          </w:tcPr>
          <w:p w:rsidRPr="00541EF8" w:rsidR="00B77E00" w:rsidRDefault="00B77E00">
            <w:pPr>
              <w:spacing w:after="160" w:line="259" w:lineRule="auto"/>
              <w:ind w:left="0" w:firstLine="0"/>
              <w:jc w:val="left"/>
            </w:pPr>
          </w:p>
        </w:tc>
        <w:tc>
          <w:tcPr>
            <w:tcW w:w="5105" w:type="dxa"/>
            <w:tcBorders>
              <w:top w:val="single" w:color="000000" w:sz="4" w:space="0"/>
              <w:left w:val="nil"/>
              <w:bottom w:val="single" w:color="000000" w:sz="4" w:space="0"/>
              <w:right w:val="nil"/>
            </w:tcBorders>
          </w:tcPr>
          <w:p w:rsidRPr="00541EF8" w:rsidR="00B77E00" w:rsidRDefault="00B77E00">
            <w:pPr>
              <w:spacing w:after="160" w:line="259" w:lineRule="auto"/>
              <w:ind w:left="0" w:firstLine="0"/>
              <w:jc w:val="left"/>
            </w:pPr>
          </w:p>
        </w:tc>
      </w:tr>
      <w:tr w:rsidRPr="00541EF8" w:rsidR="00B77E00">
        <w:trPr>
          <w:trHeight w:val="589"/>
        </w:trPr>
        <w:tc>
          <w:tcPr>
            <w:tcW w:w="560" w:type="dxa"/>
            <w:tcBorders>
              <w:top w:val="single" w:color="000000" w:sz="4" w:space="0"/>
              <w:left w:val="single" w:color="000000" w:sz="4" w:space="0"/>
              <w:bottom w:val="single" w:color="000000" w:sz="4" w:space="0"/>
              <w:right w:val="single" w:color="000000" w:sz="4" w:space="0"/>
            </w:tcBorders>
            <w:shd w:val="clear" w:color="auto" w:fill="D9D9D9"/>
          </w:tcPr>
          <w:p w:rsidRPr="00541EF8" w:rsidR="00B77E00" w:rsidRDefault="00814350">
            <w:pPr>
              <w:spacing w:after="0" w:line="259" w:lineRule="auto"/>
              <w:ind w:left="107" w:firstLine="0"/>
              <w:jc w:val="left"/>
            </w:pPr>
            <w:r w:rsidRPr="00541EF8">
              <w:t xml:space="preserve">2.1. </w:t>
            </w:r>
          </w:p>
        </w:tc>
        <w:tc>
          <w:tcPr>
            <w:tcW w:w="3402" w:type="dxa"/>
            <w:tcBorders>
              <w:top w:val="single" w:color="000000" w:sz="4" w:space="0"/>
              <w:left w:val="single" w:color="000000" w:sz="4" w:space="0"/>
              <w:bottom w:val="single" w:color="000000" w:sz="4" w:space="0"/>
              <w:right w:val="single" w:color="000000" w:sz="4" w:space="0"/>
            </w:tcBorders>
            <w:shd w:val="clear" w:color="auto" w:fill="D9D9D9"/>
          </w:tcPr>
          <w:p w:rsidRPr="00541EF8" w:rsidR="00B77E00" w:rsidRDefault="00814350">
            <w:pPr>
              <w:spacing w:after="0" w:line="259" w:lineRule="auto"/>
              <w:ind w:left="108" w:firstLine="0"/>
              <w:jc w:val="left"/>
            </w:pPr>
            <w:r w:rsidRPr="00541EF8">
              <w:t xml:space="preserve">Name of the ultimate parent entity of the MNE Group </w:t>
            </w:r>
          </w:p>
        </w:tc>
        <w:tc>
          <w:tcPr>
            <w:tcW w:w="5105" w:type="dxa"/>
            <w:tcBorders>
              <w:top w:val="single" w:color="000000" w:sz="4" w:space="0"/>
              <w:left w:val="single" w:color="000000" w:sz="4" w:space="0"/>
              <w:bottom w:val="single" w:color="000000" w:sz="4" w:space="0"/>
              <w:right w:val="single" w:color="000000" w:sz="4" w:space="0"/>
            </w:tcBorders>
          </w:tcPr>
          <w:p w:rsidRPr="00541EF8" w:rsidR="00B77E00" w:rsidRDefault="00814350">
            <w:pPr>
              <w:spacing w:after="0" w:line="259" w:lineRule="auto"/>
              <w:ind w:left="109" w:firstLine="0"/>
              <w:jc w:val="left"/>
            </w:pPr>
            <w:r w:rsidRPr="00541EF8">
              <w:t xml:space="preserve"> </w:t>
            </w:r>
          </w:p>
        </w:tc>
      </w:tr>
      <w:tr w:rsidRPr="00541EF8" w:rsidR="00B77E00">
        <w:trPr>
          <w:trHeight w:val="592"/>
        </w:trPr>
        <w:tc>
          <w:tcPr>
            <w:tcW w:w="560" w:type="dxa"/>
            <w:tcBorders>
              <w:top w:val="single" w:color="000000" w:sz="4" w:space="0"/>
              <w:left w:val="single" w:color="000000" w:sz="4" w:space="0"/>
              <w:bottom w:val="single" w:color="000000" w:sz="4" w:space="0"/>
              <w:right w:val="single" w:color="000000" w:sz="4" w:space="0"/>
            </w:tcBorders>
            <w:shd w:val="clear" w:color="auto" w:fill="D9D9D9"/>
          </w:tcPr>
          <w:p w:rsidRPr="00541EF8" w:rsidR="00B77E00" w:rsidRDefault="00814350">
            <w:pPr>
              <w:spacing w:after="0" w:line="259" w:lineRule="auto"/>
              <w:ind w:left="107" w:firstLine="0"/>
              <w:jc w:val="left"/>
            </w:pPr>
            <w:r w:rsidRPr="00541EF8">
              <w:t xml:space="preserve">2.2. </w:t>
            </w:r>
          </w:p>
        </w:tc>
        <w:tc>
          <w:tcPr>
            <w:tcW w:w="3402" w:type="dxa"/>
            <w:tcBorders>
              <w:top w:val="single" w:color="000000" w:sz="4" w:space="0"/>
              <w:left w:val="single" w:color="000000" w:sz="4" w:space="0"/>
              <w:bottom w:val="single" w:color="000000" w:sz="4" w:space="0"/>
              <w:right w:val="single" w:color="000000" w:sz="4" w:space="0"/>
            </w:tcBorders>
            <w:shd w:val="clear" w:color="auto" w:fill="D9D9D9"/>
          </w:tcPr>
          <w:p w:rsidRPr="00541EF8" w:rsidR="00B77E00" w:rsidRDefault="00814350">
            <w:pPr>
              <w:spacing w:after="0" w:line="259" w:lineRule="auto"/>
              <w:ind w:left="108" w:firstLine="0"/>
            </w:pPr>
            <w:r w:rsidRPr="00541EF8">
              <w:t xml:space="preserve">Country of tax residence of the ultimate parent entity </w:t>
            </w:r>
          </w:p>
        </w:tc>
        <w:tc>
          <w:tcPr>
            <w:tcW w:w="5105" w:type="dxa"/>
            <w:tcBorders>
              <w:top w:val="single" w:color="000000" w:sz="4" w:space="0"/>
              <w:left w:val="single" w:color="000000" w:sz="4" w:space="0"/>
              <w:bottom w:val="single" w:color="000000" w:sz="4" w:space="0"/>
              <w:right w:val="single" w:color="000000" w:sz="4" w:space="0"/>
            </w:tcBorders>
          </w:tcPr>
          <w:p w:rsidRPr="00541EF8" w:rsidR="00B77E00" w:rsidRDefault="00814350">
            <w:pPr>
              <w:spacing w:after="0" w:line="259" w:lineRule="auto"/>
              <w:ind w:left="109" w:firstLine="0"/>
              <w:jc w:val="left"/>
            </w:pPr>
            <w:r w:rsidRPr="00541EF8">
              <w:t xml:space="preserve"> </w:t>
            </w:r>
          </w:p>
        </w:tc>
      </w:tr>
    </w:tbl>
    <w:p w:rsidRPr="00541EF8" w:rsidR="00B77E00" w:rsidRDefault="00B77E00">
      <w:pPr>
        <w:spacing w:after="62" w:line="259" w:lineRule="auto"/>
        <w:ind w:left="0" w:firstLine="0"/>
        <w:jc w:val="left"/>
      </w:pPr>
    </w:p>
    <w:p w:rsidRPr="00541EF8" w:rsidR="00B77E00" w:rsidRDefault="00814350">
      <w:pPr>
        <w:numPr>
          <w:ilvl w:val="0"/>
          <w:numId w:val="1"/>
        </w:numPr>
        <w:spacing w:line="259" w:lineRule="auto"/>
        <w:ind w:hanging="360"/>
        <w:jc w:val="left"/>
      </w:pPr>
      <w:r w:rsidRPr="00541EF8">
        <w:rPr>
          <w:b/>
        </w:rPr>
        <w:t>Details of the reporting entity for the MNE Group:</w:t>
      </w:r>
    </w:p>
    <w:tbl>
      <w:tblPr>
        <w:tblW w:w="9244" w:type="dxa"/>
        <w:tblInd w:w="-5" w:type="dxa"/>
        <w:tblLayout w:type="fixed"/>
        <w:tblCellMar>
          <w:left w:w="0" w:type="dxa"/>
          <w:right w:w="0" w:type="dxa"/>
        </w:tblCellMar>
        <w:tblLook w:val="0000" w:firstRow="0" w:lastRow="0" w:firstColumn="0" w:lastColumn="0" w:noHBand="0" w:noVBand="0"/>
      </w:tblPr>
      <w:tblGrid>
        <w:gridCol w:w="618"/>
        <w:gridCol w:w="2625"/>
        <w:gridCol w:w="675"/>
        <w:gridCol w:w="822"/>
        <w:gridCol w:w="3919"/>
        <w:gridCol w:w="585"/>
      </w:tblGrid>
      <w:tr w:rsidRPr="00541EF8" w:rsidR="00061AC8" w:rsidTr="002A2D21">
        <w:trPr>
          <w:trHeight w:val="20"/>
        </w:trPr>
        <w:tc>
          <w:tcPr>
            <w:tcW w:w="618" w:type="dxa"/>
            <w:tcBorders>
              <w:top w:val="single" w:color="auto" w:sz="4" w:space="0"/>
              <w:left w:val="single" w:color="auto" w:sz="4" w:space="0"/>
              <w:bottom w:val="nil"/>
              <w:right w:val="nil"/>
            </w:tcBorders>
            <w:shd w:val="clear" w:color="auto" w:fill="D9D9D9"/>
          </w:tcPr>
          <w:p w:rsidRPr="00541EF8" w:rsidR="00061AC8" w:rsidP="00BE6F47" w:rsidRDefault="00061AC8">
            <w:pPr>
              <w:spacing w:before="60" w:after="60" w:line="240" w:lineRule="auto"/>
              <w:ind w:left="57" w:firstLine="0"/>
              <w:jc w:val="center"/>
              <w:rPr>
                <w:color w:val="auto"/>
                <w:sz w:val="24"/>
                <w:szCs w:val="24"/>
              </w:rPr>
            </w:pPr>
            <w:r w:rsidRPr="00541EF8">
              <w:rPr>
                <w:sz w:val="20"/>
                <w:lang w:bidi="ar-SA"/>
              </w:rPr>
              <w:t>3.1.</w:t>
            </w:r>
          </w:p>
        </w:tc>
        <w:tc>
          <w:tcPr>
            <w:tcW w:w="2625" w:type="dxa"/>
            <w:tcBorders>
              <w:top w:val="single" w:color="auto" w:sz="4" w:space="0"/>
              <w:left w:val="single" w:color="auto" w:sz="4" w:space="0"/>
              <w:bottom w:val="nil"/>
              <w:right w:val="nil"/>
            </w:tcBorders>
            <w:shd w:val="clear" w:color="auto" w:fill="D9D9D9"/>
          </w:tcPr>
          <w:p w:rsidRPr="00541EF8" w:rsidR="00061AC8" w:rsidP="00BE6F47" w:rsidRDefault="00061AC8">
            <w:pPr>
              <w:spacing w:before="60" w:after="60" w:line="240" w:lineRule="auto"/>
              <w:ind w:left="57" w:firstLine="0"/>
              <w:jc w:val="left"/>
              <w:rPr>
                <w:color w:val="auto"/>
                <w:sz w:val="24"/>
                <w:szCs w:val="24"/>
              </w:rPr>
            </w:pPr>
            <w:r w:rsidRPr="00541EF8">
              <w:rPr>
                <w:sz w:val="20"/>
              </w:rPr>
              <w:t>Name of reporting entity</w:t>
            </w:r>
          </w:p>
        </w:tc>
        <w:tc>
          <w:tcPr>
            <w:tcW w:w="5416" w:type="dxa"/>
            <w:gridSpan w:val="3"/>
            <w:tcBorders>
              <w:top w:val="single" w:color="auto" w:sz="4" w:space="0"/>
              <w:left w:val="single" w:color="auto" w:sz="4" w:space="0"/>
              <w:bottom w:val="nil"/>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c>
          <w:tcPr>
            <w:tcW w:w="585" w:type="dxa"/>
            <w:tcBorders>
              <w:top w:val="nil"/>
              <w:left w:val="single" w:color="auto" w:sz="4" w:space="0"/>
              <w:bottom w:val="nil"/>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r>
      <w:tr w:rsidRPr="00541EF8" w:rsidR="00061AC8" w:rsidTr="002A2D21">
        <w:trPr>
          <w:trHeight w:val="20"/>
        </w:trPr>
        <w:tc>
          <w:tcPr>
            <w:tcW w:w="618" w:type="dxa"/>
            <w:tcBorders>
              <w:top w:val="single" w:color="auto" w:sz="4" w:space="0"/>
              <w:left w:val="single" w:color="auto" w:sz="4" w:space="0"/>
              <w:bottom w:val="nil"/>
              <w:right w:val="nil"/>
            </w:tcBorders>
            <w:shd w:val="clear" w:color="auto" w:fill="D9D9D9"/>
          </w:tcPr>
          <w:p w:rsidRPr="00541EF8" w:rsidR="00061AC8" w:rsidP="00BE6F47" w:rsidRDefault="00061AC8">
            <w:pPr>
              <w:spacing w:before="60" w:after="60" w:line="240" w:lineRule="auto"/>
              <w:ind w:left="57" w:firstLine="0"/>
              <w:jc w:val="center"/>
              <w:rPr>
                <w:color w:val="auto"/>
                <w:sz w:val="24"/>
                <w:szCs w:val="24"/>
              </w:rPr>
            </w:pPr>
            <w:r w:rsidRPr="00541EF8">
              <w:rPr>
                <w:sz w:val="20"/>
                <w:lang w:bidi="ar-SA"/>
              </w:rPr>
              <w:t>3.2.</w:t>
            </w:r>
          </w:p>
        </w:tc>
        <w:tc>
          <w:tcPr>
            <w:tcW w:w="2625" w:type="dxa"/>
            <w:tcBorders>
              <w:top w:val="single" w:color="auto" w:sz="4" w:space="0"/>
              <w:left w:val="single" w:color="auto" w:sz="4" w:space="0"/>
              <w:bottom w:val="nil"/>
              <w:right w:val="nil"/>
            </w:tcBorders>
            <w:shd w:val="clear" w:color="auto" w:fill="D9D9D9"/>
            <w:vAlign w:val="bottom"/>
          </w:tcPr>
          <w:p w:rsidRPr="00541EF8" w:rsidR="00061AC8" w:rsidP="00BE6F47" w:rsidRDefault="00061AC8">
            <w:pPr>
              <w:spacing w:before="60" w:after="60" w:line="240" w:lineRule="auto"/>
              <w:ind w:left="57" w:firstLine="0"/>
              <w:jc w:val="left"/>
              <w:rPr>
                <w:color w:val="auto"/>
                <w:sz w:val="24"/>
                <w:szCs w:val="24"/>
              </w:rPr>
            </w:pPr>
            <w:r w:rsidRPr="00541EF8">
              <w:rPr>
                <w:sz w:val="20"/>
              </w:rPr>
              <w:t>Country of tax residence of the reporting entity</w:t>
            </w:r>
          </w:p>
        </w:tc>
        <w:tc>
          <w:tcPr>
            <w:tcW w:w="675" w:type="dxa"/>
            <w:tcBorders>
              <w:top w:val="single" w:color="auto" w:sz="4" w:space="0"/>
              <w:left w:val="single" w:color="auto" w:sz="4" w:space="0"/>
              <w:bottom w:val="nil"/>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c>
          <w:tcPr>
            <w:tcW w:w="822" w:type="dxa"/>
            <w:tcBorders>
              <w:top w:val="single" w:color="auto" w:sz="4" w:space="0"/>
              <w:left w:val="nil"/>
              <w:bottom w:val="nil"/>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c>
          <w:tcPr>
            <w:tcW w:w="3919" w:type="dxa"/>
            <w:tcBorders>
              <w:top w:val="single" w:color="auto" w:sz="4" w:space="0"/>
              <w:left w:val="nil"/>
              <w:bottom w:val="nil"/>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c>
          <w:tcPr>
            <w:tcW w:w="585" w:type="dxa"/>
            <w:tcBorders>
              <w:top w:val="nil"/>
              <w:left w:val="single" w:color="auto" w:sz="4" w:space="0"/>
              <w:bottom w:val="nil"/>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r>
      <w:tr w:rsidRPr="00541EF8" w:rsidR="002A2D21" w:rsidTr="002A2D21">
        <w:trPr>
          <w:trHeight w:val="20"/>
        </w:trPr>
        <w:tc>
          <w:tcPr>
            <w:tcW w:w="618" w:type="dxa"/>
            <w:tcBorders>
              <w:top w:val="single" w:color="auto" w:sz="4" w:space="0"/>
              <w:left w:val="single" w:color="auto" w:sz="4" w:space="0"/>
              <w:bottom w:val="nil"/>
              <w:right w:val="nil"/>
            </w:tcBorders>
            <w:shd w:val="clear" w:color="auto" w:fill="D9D9D9"/>
          </w:tcPr>
          <w:p w:rsidRPr="00541EF8" w:rsidR="002A2D21" w:rsidP="002A2D21" w:rsidRDefault="002A2D21">
            <w:pPr>
              <w:spacing w:before="60" w:after="60" w:line="240" w:lineRule="auto"/>
              <w:ind w:left="57" w:firstLine="0"/>
              <w:jc w:val="center"/>
              <w:rPr>
                <w:color w:val="auto"/>
                <w:sz w:val="24"/>
                <w:szCs w:val="24"/>
              </w:rPr>
            </w:pPr>
            <w:r w:rsidRPr="00541EF8">
              <w:rPr>
                <w:sz w:val="20"/>
                <w:lang w:bidi="ar-SA"/>
              </w:rPr>
              <w:t>3.3.</w:t>
            </w:r>
          </w:p>
        </w:tc>
        <w:tc>
          <w:tcPr>
            <w:tcW w:w="2625" w:type="dxa"/>
            <w:tcBorders>
              <w:top w:val="single" w:color="auto" w:sz="4" w:space="0"/>
              <w:left w:val="single" w:color="auto" w:sz="4" w:space="0"/>
              <w:bottom w:val="nil"/>
              <w:right w:val="nil"/>
            </w:tcBorders>
            <w:shd w:val="clear" w:color="auto" w:fill="D9D9D9"/>
            <w:vAlign w:val="bottom"/>
          </w:tcPr>
          <w:p w:rsidRPr="00541EF8" w:rsidR="002A2D21" w:rsidP="002A2D21" w:rsidRDefault="002A2D21">
            <w:pPr>
              <w:spacing w:before="60" w:after="60" w:line="240" w:lineRule="auto"/>
              <w:ind w:left="57" w:firstLine="0"/>
              <w:jc w:val="left"/>
              <w:rPr>
                <w:color w:val="auto"/>
                <w:sz w:val="24"/>
                <w:szCs w:val="24"/>
              </w:rPr>
            </w:pPr>
            <w:r w:rsidRPr="00541EF8">
              <w:rPr>
                <w:sz w:val="20"/>
              </w:rPr>
              <w:t>Role of the reporting entity in the MNE Group</w:t>
            </w:r>
          </w:p>
        </w:tc>
        <w:tc>
          <w:tcPr>
            <w:tcW w:w="675" w:type="dxa"/>
            <w:tcBorders>
              <w:top w:val="single" w:color="auto" w:sz="4" w:space="0"/>
              <w:left w:val="single" w:color="auto" w:sz="4" w:space="0"/>
              <w:bottom w:val="nil"/>
              <w:right w:val="nil"/>
            </w:tcBorders>
            <w:shd w:val="clear" w:color="auto" w:fill="D9D9D9"/>
          </w:tcPr>
          <w:p w:rsidRPr="00541EF8" w:rsidR="002A2D21" w:rsidP="002A2D21" w:rsidRDefault="002A2D21">
            <w:pPr>
              <w:spacing w:before="60" w:after="60" w:line="240" w:lineRule="auto"/>
              <w:ind w:left="57" w:firstLine="0"/>
              <w:jc w:val="center"/>
              <w:rPr>
                <w:color w:val="auto"/>
                <w:sz w:val="24"/>
                <w:szCs w:val="24"/>
              </w:rPr>
            </w:pPr>
            <w:r w:rsidRPr="00541EF8">
              <w:rPr>
                <w:sz w:val="20"/>
                <w:lang w:bidi="ar-SA"/>
              </w:rPr>
              <w:t>3.3.1</w:t>
            </w:r>
          </w:p>
        </w:tc>
        <w:tc>
          <w:tcPr>
            <w:tcW w:w="822" w:type="dxa"/>
            <w:tcBorders>
              <w:top w:val="single" w:color="auto" w:sz="4" w:space="0"/>
              <w:left w:val="single" w:color="auto" w:sz="4" w:space="0"/>
              <w:bottom w:val="nil"/>
              <w:right w:val="nil"/>
            </w:tcBorders>
          </w:tcPr>
          <w:p w:rsidRPr="00541EF8" w:rsidR="002A2D21" w:rsidP="002A2D21" w:rsidRDefault="002A2D21">
            <w:pPr>
              <w:spacing w:line="288" w:lineRule="auto"/>
              <w:ind w:left="68" w:hanging="11"/>
            </w:pPr>
            <w:r w:rsidRPr="00541EF8">
              <w:rPr>
                <w:sz w:val="36"/>
              </w:rPr>
              <w:t>□</w:t>
            </w:r>
            <w:r w:rsidRPr="00541EF8">
              <w:t xml:space="preserve"> </w:t>
            </w:r>
          </w:p>
        </w:tc>
        <w:tc>
          <w:tcPr>
            <w:tcW w:w="3919" w:type="dxa"/>
            <w:tcBorders>
              <w:top w:val="single" w:color="auto" w:sz="4" w:space="0"/>
              <w:left w:val="single" w:color="auto" w:sz="4" w:space="0"/>
              <w:bottom w:val="nil"/>
              <w:right w:val="nil"/>
            </w:tcBorders>
          </w:tcPr>
          <w:p w:rsidRPr="00541EF8" w:rsidR="002A2D21" w:rsidP="002A2D21" w:rsidRDefault="002A2D21">
            <w:pPr>
              <w:spacing w:before="60" w:after="60" w:line="240" w:lineRule="auto"/>
              <w:ind w:left="57" w:firstLine="0"/>
              <w:jc w:val="left"/>
              <w:rPr>
                <w:color w:val="auto"/>
                <w:sz w:val="24"/>
                <w:szCs w:val="24"/>
              </w:rPr>
            </w:pPr>
            <w:r w:rsidRPr="00541EF8">
              <w:rPr>
                <w:sz w:val="20"/>
              </w:rPr>
              <w:t>Ultimate parent entity</w:t>
            </w:r>
          </w:p>
        </w:tc>
        <w:tc>
          <w:tcPr>
            <w:tcW w:w="585" w:type="dxa"/>
            <w:tcBorders>
              <w:top w:val="nil"/>
              <w:left w:val="single" w:color="auto" w:sz="4" w:space="0"/>
              <w:bottom w:val="nil"/>
              <w:right w:val="nil"/>
            </w:tcBorders>
          </w:tcPr>
          <w:p w:rsidRPr="00541EF8" w:rsidR="002A2D21" w:rsidP="002A2D21" w:rsidRDefault="002A2D21">
            <w:pPr>
              <w:spacing w:before="60" w:after="60" w:line="240" w:lineRule="auto"/>
              <w:ind w:left="57" w:firstLine="0"/>
              <w:jc w:val="left"/>
              <w:rPr>
                <w:color w:val="auto"/>
                <w:sz w:val="24"/>
                <w:szCs w:val="24"/>
                <w:lang w:eastAsia="fr-LU" w:bidi="ar-SA"/>
              </w:rPr>
            </w:pPr>
          </w:p>
        </w:tc>
      </w:tr>
      <w:tr w:rsidRPr="00541EF8" w:rsidR="002A2D21" w:rsidTr="002A2D21">
        <w:trPr>
          <w:trHeight w:val="20"/>
        </w:trPr>
        <w:tc>
          <w:tcPr>
            <w:tcW w:w="618" w:type="dxa"/>
            <w:tcBorders>
              <w:top w:val="single" w:color="auto" w:sz="4" w:space="0"/>
              <w:left w:val="nil"/>
              <w:bottom w:val="nil"/>
              <w:right w:val="nil"/>
            </w:tcBorders>
          </w:tcPr>
          <w:p w:rsidRPr="00541EF8" w:rsidR="002A2D21" w:rsidP="002A2D21" w:rsidRDefault="002A2D21">
            <w:pPr>
              <w:spacing w:before="60" w:after="60" w:line="240" w:lineRule="auto"/>
              <w:ind w:left="57" w:firstLine="0"/>
              <w:jc w:val="left"/>
              <w:rPr>
                <w:color w:val="auto"/>
                <w:sz w:val="24"/>
                <w:szCs w:val="24"/>
                <w:lang w:eastAsia="fr-LU" w:bidi="ar-SA"/>
              </w:rPr>
            </w:pPr>
          </w:p>
        </w:tc>
        <w:tc>
          <w:tcPr>
            <w:tcW w:w="2625" w:type="dxa"/>
            <w:tcBorders>
              <w:top w:val="single" w:color="auto" w:sz="4" w:space="0"/>
              <w:left w:val="nil"/>
              <w:bottom w:val="nil"/>
              <w:right w:val="nil"/>
            </w:tcBorders>
          </w:tcPr>
          <w:p w:rsidRPr="00541EF8" w:rsidR="002A2D21" w:rsidP="002A2D21" w:rsidRDefault="002A2D21">
            <w:pPr>
              <w:spacing w:before="60" w:after="60" w:line="240" w:lineRule="auto"/>
              <w:ind w:left="57" w:firstLine="0"/>
              <w:jc w:val="left"/>
              <w:rPr>
                <w:color w:val="auto"/>
                <w:sz w:val="24"/>
                <w:szCs w:val="24"/>
                <w:lang w:eastAsia="fr-LU" w:bidi="ar-SA"/>
              </w:rPr>
            </w:pPr>
          </w:p>
        </w:tc>
        <w:tc>
          <w:tcPr>
            <w:tcW w:w="675" w:type="dxa"/>
            <w:tcBorders>
              <w:top w:val="single" w:color="auto" w:sz="4" w:space="0"/>
              <w:left w:val="single" w:color="auto" w:sz="4" w:space="0"/>
              <w:bottom w:val="nil"/>
              <w:right w:val="nil"/>
            </w:tcBorders>
            <w:shd w:val="clear" w:color="auto" w:fill="D9D9D9"/>
          </w:tcPr>
          <w:p w:rsidRPr="00541EF8" w:rsidR="002A2D21" w:rsidP="002A2D21" w:rsidRDefault="002A2D21">
            <w:pPr>
              <w:spacing w:before="60" w:after="60" w:line="240" w:lineRule="auto"/>
              <w:ind w:left="57" w:firstLine="0"/>
              <w:jc w:val="center"/>
              <w:rPr>
                <w:color w:val="auto"/>
                <w:sz w:val="24"/>
                <w:szCs w:val="24"/>
              </w:rPr>
            </w:pPr>
            <w:r w:rsidRPr="00541EF8">
              <w:rPr>
                <w:sz w:val="20"/>
                <w:lang w:bidi="ar-SA"/>
              </w:rPr>
              <w:t>3.3.2</w:t>
            </w:r>
          </w:p>
        </w:tc>
        <w:tc>
          <w:tcPr>
            <w:tcW w:w="822" w:type="dxa"/>
            <w:tcBorders>
              <w:top w:val="single" w:color="auto" w:sz="4" w:space="0"/>
              <w:left w:val="single" w:color="auto" w:sz="4" w:space="0"/>
              <w:bottom w:val="nil"/>
              <w:right w:val="nil"/>
            </w:tcBorders>
          </w:tcPr>
          <w:p w:rsidRPr="00541EF8" w:rsidR="002A2D21" w:rsidP="002A2D21" w:rsidRDefault="002A2D21">
            <w:pPr>
              <w:spacing w:line="288" w:lineRule="auto"/>
              <w:ind w:left="68" w:hanging="11"/>
            </w:pPr>
            <w:r w:rsidRPr="00541EF8">
              <w:rPr>
                <w:sz w:val="36"/>
              </w:rPr>
              <w:t>□</w:t>
            </w:r>
            <w:r w:rsidRPr="00541EF8">
              <w:t xml:space="preserve"> </w:t>
            </w:r>
          </w:p>
        </w:tc>
        <w:tc>
          <w:tcPr>
            <w:tcW w:w="3919" w:type="dxa"/>
            <w:tcBorders>
              <w:top w:val="single" w:color="auto" w:sz="4" w:space="0"/>
              <w:left w:val="single" w:color="auto" w:sz="4" w:space="0"/>
              <w:bottom w:val="nil"/>
              <w:right w:val="nil"/>
            </w:tcBorders>
          </w:tcPr>
          <w:p w:rsidRPr="00541EF8" w:rsidR="002A2D21" w:rsidP="002A2D21" w:rsidRDefault="002A2D21">
            <w:pPr>
              <w:spacing w:before="60" w:after="60" w:line="240" w:lineRule="auto"/>
              <w:ind w:left="57" w:firstLine="0"/>
              <w:jc w:val="left"/>
              <w:rPr>
                <w:color w:val="auto"/>
                <w:sz w:val="24"/>
                <w:szCs w:val="24"/>
              </w:rPr>
            </w:pPr>
            <w:r w:rsidRPr="00541EF8">
              <w:rPr>
                <w:sz w:val="20"/>
              </w:rPr>
              <w:t>Surrogate parent entity</w:t>
            </w:r>
          </w:p>
        </w:tc>
        <w:tc>
          <w:tcPr>
            <w:tcW w:w="585" w:type="dxa"/>
            <w:tcBorders>
              <w:top w:val="nil"/>
              <w:left w:val="single" w:color="auto" w:sz="4" w:space="0"/>
              <w:bottom w:val="nil"/>
              <w:right w:val="nil"/>
            </w:tcBorders>
          </w:tcPr>
          <w:p w:rsidRPr="00541EF8" w:rsidR="002A2D21" w:rsidP="002A2D21" w:rsidRDefault="002A2D21">
            <w:pPr>
              <w:spacing w:before="60" w:after="60" w:line="240" w:lineRule="auto"/>
              <w:ind w:left="57" w:firstLine="0"/>
              <w:jc w:val="left"/>
              <w:rPr>
                <w:color w:val="auto"/>
                <w:sz w:val="24"/>
                <w:szCs w:val="24"/>
                <w:lang w:eastAsia="fr-LU" w:bidi="ar-SA"/>
              </w:rPr>
            </w:pPr>
          </w:p>
        </w:tc>
      </w:tr>
      <w:tr w:rsidRPr="00541EF8" w:rsidR="002A2D21" w:rsidTr="002A2D21">
        <w:trPr>
          <w:trHeight w:val="20"/>
        </w:trPr>
        <w:tc>
          <w:tcPr>
            <w:tcW w:w="618" w:type="dxa"/>
            <w:tcBorders>
              <w:top w:val="nil"/>
              <w:left w:val="nil"/>
              <w:bottom w:val="nil"/>
              <w:right w:val="nil"/>
            </w:tcBorders>
          </w:tcPr>
          <w:p w:rsidRPr="00541EF8" w:rsidR="002A2D21" w:rsidP="002A2D21" w:rsidRDefault="002A2D21">
            <w:pPr>
              <w:spacing w:before="60" w:after="60" w:line="240" w:lineRule="auto"/>
              <w:ind w:left="57" w:firstLine="0"/>
              <w:jc w:val="left"/>
              <w:rPr>
                <w:color w:val="auto"/>
                <w:sz w:val="24"/>
                <w:szCs w:val="24"/>
                <w:lang w:eastAsia="fr-LU" w:bidi="ar-SA"/>
              </w:rPr>
            </w:pPr>
          </w:p>
        </w:tc>
        <w:tc>
          <w:tcPr>
            <w:tcW w:w="2625" w:type="dxa"/>
            <w:tcBorders>
              <w:top w:val="nil"/>
              <w:left w:val="nil"/>
              <w:bottom w:val="nil"/>
              <w:right w:val="nil"/>
            </w:tcBorders>
          </w:tcPr>
          <w:p w:rsidRPr="00541EF8" w:rsidR="002A2D21" w:rsidP="002A2D21" w:rsidRDefault="002A2D21">
            <w:pPr>
              <w:spacing w:before="60" w:after="60" w:line="240" w:lineRule="auto"/>
              <w:ind w:left="57" w:firstLine="0"/>
              <w:jc w:val="left"/>
              <w:rPr>
                <w:color w:val="auto"/>
                <w:sz w:val="24"/>
                <w:szCs w:val="24"/>
                <w:lang w:eastAsia="fr-LU" w:bidi="ar-SA"/>
              </w:rPr>
            </w:pPr>
          </w:p>
        </w:tc>
        <w:tc>
          <w:tcPr>
            <w:tcW w:w="675" w:type="dxa"/>
            <w:tcBorders>
              <w:top w:val="single" w:color="auto" w:sz="4" w:space="0"/>
              <w:left w:val="single" w:color="auto" w:sz="4" w:space="0"/>
              <w:bottom w:val="nil"/>
              <w:right w:val="nil"/>
            </w:tcBorders>
            <w:shd w:val="clear" w:color="auto" w:fill="D9D9D9"/>
          </w:tcPr>
          <w:p w:rsidRPr="00541EF8" w:rsidR="002A2D21" w:rsidP="002A2D21" w:rsidRDefault="002A2D21">
            <w:pPr>
              <w:spacing w:before="60" w:after="60" w:line="240" w:lineRule="auto"/>
              <w:ind w:left="57" w:firstLine="0"/>
              <w:jc w:val="center"/>
              <w:rPr>
                <w:color w:val="auto"/>
                <w:sz w:val="24"/>
                <w:szCs w:val="24"/>
              </w:rPr>
            </w:pPr>
            <w:r w:rsidRPr="00541EF8">
              <w:rPr>
                <w:sz w:val="20"/>
                <w:lang w:bidi="ar-SA"/>
              </w:rPr>
              <w:t>3.3.3</w:t>
            </w:r>
          </w:p>
        </w:tc>
        <w:tc>
          <w:tcPr>
            <w:tcW w:w="822" w:type="dxa"/>
            <w:tcBorders>
              <w:top w:val="single" w:color="auto" w:sz="4" w:space="0"/>
              <w:left w:val="single" w:color="auto" w:sz="4" w:space="0"/>
              <w:bottom w:val="nil"/>
              <w:right w:val="nil"/>
            </w:tcBorders>
          </w:tcPr>
          <w:p w:rsidRPr="00541EF8" w:rsidR="002A2D21" w:rsidP="002A2D21" w:rsidRDefault="002A2D21">
            <w:pPr>
              <w:spacing w:line="288" w:lineRule="auto"/>
              <w:ind w:left="68" w:hanging="11"/>
            </w:pPr>
            <w:r w:rsidRPr="00541EF8">
              <w:rPr>
                <w:sz w:val="36"/>
              </w:rPr>
              <w:t>□</w:t>
            </w:r>
            <w:r w:rsidRPr="00541EF8">
              <w:t xml:space="preserve"> </w:t>
            </w:r>
          </w:p>
        </w:tc>
        <w:tc>
          <w:tcPr>
            <w:tcW w:w="3919" w:type="dxa"/>
            <w:tcBorders>
              <w:top w:val="single" w:color="auto" w:sz="4" w:space="0"/>
              <w:left w:val="single" w:color="auto" w:sz="4" w:space="0"/>
              <w:bottom w:val="nil"/>
              <w:right w:val="nil"/>
            </w:tcBorders>
            <w:vAlign w:val="bottom"/>
          </w:tcPr>
          <w:p w:rsidRPr="00541EF8" w:rsidR="002A2D21" w:rsidP="002A2D21" w:rsidRDefault="002A2D21">
            <w:pPr>
              <w:spacing w:before="60" w:after="60" w:line="240" w:lineRule="auto"/>
              <w:ind w:left="57" w:firstLine="0"/>
              <w:jc w:val="left"/>
              <w:rPr>
                <w:color w:val="auto"/>
                <w:sz w:val="24"/>
                <w:szCs w:val="24"/>
              </w:rPr>
            </w:pPr>
            <w:r w:rsidRPr="00541EF8">
              <w:rPr>
                <w:sz w:val="20"/>
              </w:rPr>
              <w:t xml:space="preserve">Constituent entity that is to file the </w:t>
            </w:r>
            <w:proofErr w:type="spellStart"/>
            <w:r w:rsidRPr="00541EF8">
              <w:rPr>
                <w:sz w:val="20"/>
              </w:rPr>
              <w:t>CbCR</w:t>
            </w:r>
            <w:proofErr w:type="spellEnd"/>
            <w:r w:rsidRPr="00541EF8">
              <w:rPr>
                <w:sz w:val="20"/>
              </w:rPr>
              <w:t xml:space="preserve"> for all constituent </w:t>
            </w:r>
            <w:proofErr w:type="gramStart"/>
            <w:r w:rsidRPr="00541EF8">
              <w:rPr>
                <w:sz w:val="20"/>
              </w:rPr>
              <w:t>entities</w:t>
            </w:r>
            <w:proofErr w:type="gramEnd"/>
            <w:r w:rsidRPr="00541EF8">
              <w:rPr>
                <w:sz w:val="20"/>
              </w:rPr>
              <w:t xml:space="preserve"> resident for tax purposes in the EU because it has been designated as the reporting entity by the MNE Group (fourth paragraph of point 1, Section II, Annex III)</w:t>
            </w:r>
          </w:p>
        </w:tc>
        <w:tc>
          <w:tcPr>
            <w:tcW w:w="585" w:type="dxa"/>
            <w:tcBorders>
              <w:top w:val="nil"/>
              <w:left w:val="single" w:color="auto" w:sz="4" w:space="0"/>
              <w:bottom w:val="nil"/>
              <w:right w:val="nil"/>
            </w:tcBorders>
          </w:tcPr>
          <w:p w:rsidRPr="00541EF8" w:rsidR="002A2D21" w:rsidP="002A2D21" w:rsidRDefault="002A2D21">
            <w:pPr>
              <w:spacing w:before="60" w:after="60" w:line="240" w:lineRule="auto"/>
              <w:ind w:left="57" w:firstLine="0"/>
              <w:jc w:val="left"/>
              <w:rPr>
                <w:color w:val="auto"/>
                <w:sz w:val="24"/>
                <w:szCs w:val="24"/>
                <w:lang w:eastAsia="fr-LU" w:bidi="ar-SA"/>
              </w:rPr>
            </w:pPr>
          </w:p>
        </w:tc>
      </w:tr>
      <w:tr w:rsidRPr="00541EF8" w:rsidR="002A2D21" w:rsidTr="002A2D21">
        <w:trPr>
          <w:trHeight w:val="20"/>
        </w:trPr>
        <w:tc>
          <w:tcPr>
            <w:tcW w:w="618" w:type="dxa"/>
            <w:tcBorders>
              <w:top w:val="nil"/>
              <w:left w:val="nil"/>
              <w:bottom w:val="nil"/>
              <w:right w:val="nil"/>
            </w:tcBorders>
          </w:tcPr>
          <w:p w:rsidRPr="00541EF8" w:rsidR="002A2D21" w:rsidP="002A2D21" w:rsidRDefault="002A2D21">
            <w:pPr>
              <w:spacing w:before="60" w:after="60" w:line="240" w:lineRule="auto"/>
              <w:ind w:left="57" w:firstLine="0"/>
              <w:jc w:val="left"/>
              <w:rPr>
                <w:color w:val="auto"/>
                <w:sz w:val="24"/>
                <w:szCs w:val="24"/>
                <w:lang w:eastAsia="fr-LU" w:bidi="ar-SA"/>
              </w:rPr>
            </w:pPr>
          </w:p>
        </w:tc>
        <w:tc>
          <w:tcPr>
            <w:tcW w:w="2625" w:type="dxa"/>
            <w:tcBorders>
              <w:top w:val="nil"/>
              <w:left w:val="nil"/>
              <w:bottom w:val="nil"/>
              <w:right w:val="nil"/>
            </w:tcBorders>
          </w:tcPr>
          <w:p w:rsidRPr="00541EF8" w:rsidR="002A2D21" w:rsidP="002A2D21" w:rsidRDefault="002A2D21">
            <w:pPr>
              <w:spacing w:before="60" w:after="60" w:line="240" w:lineRule="auto"/>
              <w:ind w:left="57" w:firstLine="0"/>
              <w:jc w:val="left"/>
              <w:rPr>
                <w:color w:val="auto"/>
                <w:sz w:val="24"/>
                <w:szCs w:val="24"/>
                <w:lang w:eastAsia="fr-LU" w:bidi="ar-SA"/>
              </w:rPr>
            </w:pPr>
          </w:p>
        </w:tc>
        <w:tc>
          <w:tcPr>
            <w:tcW w:w="675" w:type="dxa"/>
            <w:tcBorders>
              <w:top w:val="single" w:color="auto" w:sz="4" w:space="0"/>
              <w:left w:val="single" w:color="auto" w:sz="4" w:space="0"/>
              <w:bottom w:val="nil"/>
              <w:right w:val="nil"/>
            </w:tcBorders>
            <w:shd w:val="clear" w:color="auto" w:fill="D9D9D9"/>
          </w:tcPr>
          <w:p w:rsidRPr="00541EF8" w:rsidR="002A2D21" w:rsidP="002A2D21" w:rsidRDefault="002A2D21">
            <w:pPr>
              <w:spacing w:before="60" w:after="60" w:line="240" w:lineRule="auto"/>
              <w:ind w:left="57" w:firstLine="0"/>
              <w:jc w:val="center"/>
              <w:rPr>
                <w:color w:val="auto"/>
                <w:sz w:val="24"/>
                <w:szCs w:val="24"/>
              </w:rPr>
            </w:pPr>
            <w:r w:rsidRPr="00541EF8">
              <w:rPr>
                <w:sz w:val="20"/>
                <w:lang w:bidi="ar-SA"/>
              </w:rPr>
              <w:t>3.3.4</w:t>
            </w:r>
          </w:p>
        </w:tc>
        <w:tc>
          <w:tcPr>
            <w:tcW w:w="822" w:type="dxa"/>
            <w:tcBorders>
              <w:top w:val="single" w:color="auto" w:sz="4" w:space="0"/>
              <w:left w:val="single" w:color="auto" w:sz="4" w:space="0"/>
              <w:bottom w:val="nil"/>
              <w:right w:val="nil"/>
            </w:tcBorders>
          </w:tcPr>
          <w:p w:rsidRPr="00541EF8" w:rsidR="002A2D21" w:rsidP="002A2D21" w:rsidRDefault="002A2D21">
            <w:pPr>
              <w:spacing w:line="288" w:lineRule="auto"/>
              <w:ind w:left="68" w:hanging="11"/>
            </w:pPr>
            <w:r w:rsidRPr="00541EF8">
              <w:rPr>
                <w:sz w:val="36"/>
              </w:rPr>
              <w:t>□</w:t>
            </w:r>
            <w:r w:rsidRPr="00541EF8">
              <w:t xml:space="preserve"> </w:t>
            </w:r>
          </w:p>
        </w:tc>
        <w:tc>
          <w:tcPr>
            <w:tcW w:w="3919" w:type="dxa"/>
            <w:tcBorders>
              <w:top w:val="single" w:color="auto" w:sz="4" w:space="0"/>
              <w:left w:val="single" w:color="auto" w:sz="4" w:space="0"/>
              <w:bottom w:val="nil"/>
              <w:right w:val="nil"/>
            </w:tcBorders>
            <w:vAlign w:val="bottom"/>
          </w:tcPr>
          <w:p w:rsidRPr="00541EF8" w:rsidR="002A2D21" w:rsidP="002A2D21" w:rsidRDefault="002A2D21">
            <w:pPr>
              <w:spacing w:before="60" w:after="60" w:line="240" w:lineRule="auto"/>
              <w:ind w:left="57" w:firstLine="0"/>
              <w:jc w:val="left"/>
              <w:rPr>
                <w:color w:val="auto"/>
                <w:sz w:val="24"/>
                <w:szCs w:val="24"/>
              </w:rPr>
            </w:pPr>
            <w:r w:rsidRPr="00541EF8">
              <w:rPr>
                <w:sz w:val="20"/>
              </w:rPr>
              <w:t>Constituent entity, resident for tax purposes under ZDDPO‑2, that has not been designated to be the reporting entity by the MNE Group but is subject to a reporting obligation because no other entity referred to above reports for this MNE Group (point 1, Section II, Annex III)</w:t>
            </w:r>
          </w:p>
        </w:tc>
        <w:tc>
          <w:tcPr>
            <w:tcW w:w="585" w:type="dxa"/>
            <w:tcBorders>
              <w:top w:val="nil"/>
              <w:left w:val="single" w:color="auto" w:sz="4" w:space="0"/>
              <w:bottom w:val="nil"/>
              <w:right w:val="nil"/>
            </w:tcBorders>
          </w:tcPr>
          <w:p w:rsidRPr="00541EF8" w:rsidR="002A2D21" w:rsidP="002A2D21" w:rsidRDefault="002A2D21">
            <w:pPr>
              <w:spacing w:before="60" w:after="60" w:line="240" w:lineRule="auto"/>
              <w:ind w:left="57" w:firstLine="0"/>
              <w:jc w:val="left"/>
              <w:rPr>
                <w:color w:val="auto"/>
                <w:sz w:val="24"/>
                <w:szCs w:val="24"/>
                <w:lang w:eastAsia="fr-LU" w:bidi="ar-SA"/>
              </w:rPr>
            </w:pPr>
          </w:p>
        </w:tc>
      </w:tr>
      <w:tr w:rsidRPr="00541EF8" w:rsidR="00061AC8" w:rsidTr="002A2D21">
        <w:trPr>
          <w:trHeight w:val="20"/>
        </w:trPr>
        <w:tc>
          <w:tcPr>
            <w:tcW w:w="618" w:type="dxa"/>
            <w:tcBorders>
              <w:top w:val="nil"/>
              <w:left w:val="nil"/>
              <w:bottom w:val="nil"/>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c>
          <w:tcPr>
            <w:tcW w:w="2625" w:type="dxa"/>
            <w:tcBorders>
              <w:top w:val="nil"/>
              <w:left w:val="nil"/>
              <w:bottom w:val="nil"/>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c>
          <w:tcPr>
            <w:tcW w:w="675" w:type="dxa"/>
            <w:tcBorders>
              <w:top w:val="single" w:color="auto" w:sz="4" w:space="0"/>
              <w:left w:val="nil"/>
              <w:bottom w:val="nil"/>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c>
          <w:tcPr>
            <w:tcW w:w="822" w:type="dxa"/>
            <w:tcBorders>
              <w:top w:val="single" w:color="auto" w:sz="4" w:space="0"/>
              <w:left w:val="single" w:color="auto" w:sz="4" w:space="0"/>
              <w:bottom w:val="nil"/>
              <w:right w:val="nil"/>
            </w:tcBorders>
            <w:shd w:val="clear" w:color="auto" w:fill="D9D9D9"/>
          </w:tcPr>
          <w:p w:rsidRPr="00541EF8" w:rsidR="00061AC8" w:rsidP="00BE6F47" w:rsidRDefault="00061AC8">
            <w:pPr>
              <w:spacing w:before="60" w:after="60" w:line="240" w:lineRule="auto"/>
              <w:ind w:left="57" w:firstLine="0"/>
              <w:jc w:val="center"/>
              <w:rPr>
                <w:color w:val="auto"/>
                <w:sz w:val="24"/>
                <w:szCs w:val="24"/>
              </w:rPr>
            </w:pPr>
            <w:r w:rsidRPr="00541EF8">
              <w:rPr>
                <w:sz w:val="20"/>
                <w:lang w:bidi="ar-SA"/>
              </w:rPr>
              <w:t>3.3.4.1</w:t>
            </w:r>
          </w:p>
        </w:tc>
        <w:tc>
          <w:tcPr>
            <w:tcW w:w="3919" w:type="dxa"/>
            <w:tcBorders>
              <w:top w:val="single" w:color="auto" w:sz="4" w:space="0"/>
              <w:left w:val="single" w:color="auto" w:sz="4" w:space="0"/>
              <w:bottom w:val="nil"/>
              <w:right w:val="nil"/>
            </w:tcBorders>
            <w:vAlign w:val="bottom"/>
          </w:tcPr>
          <w:p w:rsidRPr="00541EF8" w:rsidR="00061AC8" w:rsidP="00BE6F47" w:rsidRDefault="00061AC8">
            <w:pPr>
              <w:spacing w:before="60" w:after="60" w:line="240" w:lineRule="auto"/>
              <w:ind w:left="57" w:firstLine="0"/>
              <w:jc w:val="left"/>
              <w:rPr>
                <w:color w:val="auto"/>
                <w:sz w:val="24"/>
                <w:szCs w:val="24"/>
              </w:rPr>
            </w:pPr>
            <w:r w:rsidRPr="00541EF8">
              <w:rPr>
                <w:sz w:val="20"/>
              </w:rPr>
              <w:t xml:space="preserve">Are you able to obtain information for the preparation of the </w:t>
            </w:r>
            <w:proofErr w:type="spellStart"/>
            <w:r w:rsidRPr="00541EF8">
              <w:rPr>
                <w:sz w:val="20"/>
              </w:rPr>
              <w:t>CbCR</w:t>
            </w:r>
            <w:proofErr w:type="spellEnd"/>
            <w:r w:rsidRPr="00541EF8">
              <w:rPr>
                <w:sz w:val="20"/>
              </w:rPr>
              <w:t xml:space="preserve"> from your ultimate parent entity?</w:t>
            </w:r>
          </w:p>
        </w:tc>
        <w:tc>
          <w:tcPr>
            <w:tcW w:w="585" w:type="dxa"/>
            <w:tcBorders>
              <w:top w:val="single" w:color="auto" w:sz="4" w:space="0"/>
              <w:left w:val="single" w:color="auto" w:sz="4" w:space="0"/>
              <w:bottom w:val="nil"/>
              <w:right w:val="single" w:color="auto" w:sz="4" w:space="0"/>
            </w:tcBorders>
            <w:vAlign w:val="center"/>
          </w:tcPr>
          <w:p w:rsidRPr="00541EF8" w:rsidR="00061AC8" w:rsidP="00BE6F47" w:rsidRDefault="00061AC8">
            <w:pPr>
              <w:spacing w:before="60" w:after="60" w:line="240" w:lineRule="auto"/>
              <w:ind w:left="57" w:firstLine="0"/>
              <w:jc w:val="center"/>
              <w:rPr>
                <w:color w:val="auto"/>
                <w:sz w:val="24"/>
                <w:szCs w:val="24"/>
              </w:rPr>
            </w:pPr>
            <w:r w:rsidRPr="00541EF8">
              <w:rPr>
                <w:sz w:val="20"/>
              </w:rPr>
              <w:t>YES</w:t>
            </w:r>
          </w:p>
        </w:tc>
      </w:tr>
      <w:tr w:rsidRPr="00541EF8" w:rsidR="00061AC8" w:rsidTr="002A2D21">
        <w:trPr>
          <w:trHeight w:val="20"/>
        </w:trPr>
        <w:tc>
          <w:tcPr>
            <w:tcW w:w="618" w:type="dxa"/>
            <w:tcBorders>
              <w:top w:val="nil"/>
              <w:left w:val="nil"/>
              <w:bottom w:val="nil"/>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c>
          <w:tcPr>
            <w:tcW w:w="2625" w:type="dxa"/>
            <w:tcBorders>
              <w:top w:val="nil"/>
              <w:left w:val="nil"/>
              <w:bottom w:val="nil"/>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c>
          <w:tcPr>
            <w:tcW w:w="675" w:type="dxa"/>
            <w:tcBorders>
              <w:top w:val="nil"/>
              <w:left w:val="nil"/>
              <w:bottom w:val="nil"/>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c>
          <w:tcPr>
            <w:tcW w:w="822" w:type="dxa"/>
            <w:tcBorders>
              <w:top w:val="nil"/>
              <w:left w:val="single" w:color="auto" w:sz="4" w:space="0"/>
              <w:bottom w:val="single" w:color="auto" w:sz="4" w:space="0"/>
              <w:right w:val="nil"/>
            </w:tcBorders>
            <w:shd w:val="clear" w:color="auto" w:fill="D9D9D9"/>
          </w:tcPr>
          <w:p w:rsidRPr="00541EF8" w:rsidR="00061AC8" w:rsidP="00BE6F47" w:rsidRDefault="00061AC8">
            <w:pPr>
              <w:spacing w:before="60" w:after="60" w:line="240" w:lineRule="auto"/>
              <w:ind w:left="57" w:firstLine="0"/>
              <w:jc w:val="left"/>
              <w:rPr>
                <w:color w:val="auto"/>
                <w:sz w:val="24"/>
                <w:szCs w:val="24"/>
                <w:lang w:eastAsia="fr-LU" w:bidi="ar-SA"/>
              </w:rPr>
            </w:pPr>
          </w:p>
        </w:tc>
        <w:tc>
          <w:tcPr>
            <w:tcW w:w="3919" w:type="dxa"/>
            <w:tcBorders>
              <w:top w:val="nil"/>
              <w:left w:val="single" w:color="auto" w:sz="4" w:space="0"/>
              <w:bottom w:val="single" w:color="auto" w:sz="4" w:space="0"/>
              <w:right w:val="nil"/>
            </w:tcBorders>
          </w:tcPr>
          <w:p w:rsidRPr="00541EF8" w:rsidR="00061AC8" w:rsidP="00BE6F47" w:rsidRDefault="00061AC8">
            <w:pPr>
              <w:spacing w:before="60" w:after="60" w:line="240" w:lineRule="auto"/>
              <w:ind w:left="57" w:firstLine="0"/>
              <w:jc w:val="left"/>
              <w:rPr>
                <w:color w:val="auto"/>
                <w:sz w:val="24"/>
                <w:szCs w:val="24"/>
                <w:lang w:eastAsia="fr-LU" w:bidi="ar-SA"/>
              </w:rPr>
            </w:pPr>
          </w:p>
        </w:tc>
        <w:tc>
          <w:tcPr>
            <w:tcW w:w="585" w:type="dxa"/>
            <w:tcBorders>
              <w:top w:val="single" w:color="auto" w:sz="4" w:space="0"/>
              <w:left w:val="single" w:color="auto" w:sz="4" w:space="0"/>
              <w:bottom w:val="single" w:color="auto" w:sz="4" w:space="0"/>
              <w:right w:val="single" w:color="auto" w:sz="4" w:space="0"/>
            </w:tcBorders>
          </w:tcPr>
          <w:p w:rsidRPr="00541EF8" w:rsidR="00061AC8" w:rsidP="00BE6F47" w:rsidRDefault="00061AC8">
            <w:pPr>
              <w:spacing w:before="60" w:after="60" w:line="240" w:lineRule="auto"/>
              <w:ind w:left="57" w:firstLine="0"/>
              <w:jc w:val="center"/>
              <w:rPr>
                <w:color w:val="auto"/>
                <w:sz w:val="24"/>
                <w:szCs w:val="24"/>
              </w:rPr>
            </w:pPr>
            <w:r w:rsidRPr="00541EF8">
              <w:rPr>
                <w:sz w:val="20"/>
              </w:rPr>
              <w:t>NO</w:t>
            </w:r>
          </w:p>
        </w:tc>
      </w:tr>
    </w:tbl>
    <w:p w:rsidRPr="00541EF8" w:rsidR="00061AC8" w:rsidP="00061AC8" w:rsidRDefault="00061AC8">
      <w:pPr>
        <w:spacing w:line="259" w:lineRule="auto"/>
        <w:jc w:val="left"/>
      </w:pPr>
    </w:p>
    <w:p w:rsidRPr="00541EF8" w:rsidR="00B77E00" w:rsidRDefault="00814350">
      <w:pPr>
        <w:numPr>
          <w:ilvl w:val="0"/>
          <w:numId w:val="1"/>
        </w:numPr>
        <w:spacing w:line="259" w:lineRule="auto"/>
        <w:ind w:hanging="360"/>
        <w:jc w:val="left"/>
      </w:pPr>
      <w:r w:rsidRPr="00541EF8">
        <w:rPr>
          <w:b/>
        </w:rPr>
        <w:t>Your role in this MNE Group if you are not listed as the reporting entity:</w:t>
      </w:r>
    </w:p>
    <w:tbl>
      <w:tblPr>
        <w:tblStyle w:val="TableGrid"/>
        <w:tblW w:w="9068" w:type="dxa"/>
        <w:tblInd w:w="6" w:type="dxa"/>
        <w:tblCellMar>
          <w:top w:w="6" w:type="dxa"/>
          <w:left w:w="106" w:type="dxa"/>
          <w:right w:w="115" w:type="dxa"/>
        </w:tblCellMar>
        <w:tblLook w:val="04A0" w:firstRow="1" w:lastRow="0" w:firstColumn="1" w:lastColumn="0" w:noHBand="0" w:noVBand="1"/>
      </w:tblPr>
      <w:tblGrid>
        <w:gridCol w:w="1224"/>
        <w:gridCol w:w="1538"/>
        <w:gridCol w:w="6306"/>
      </w:tblGrid>
      <w:tr w:rsidRPr="00541EF8" w:rsidR="00B77E00">
        <w:trPr>
          <w:trHeight w:val="616"/>
        </w:trPr>
        <w:tc>
          <w:tcPr>
            <w:tcW w:w="1224" w:type="dxa"/>
            <w:tcBorders>
              <w:top w:val="single" w:color="000000" w:sz="4" w:space="0"/>
              <w:left w:val="single" w:color="000000" w:sz="4" w:space="0"/>
              <w:bottom w:val="single" w:color="000000" w:sz="4" w:space="0"/>
              <w:right w:val="single" w:color="000000" w:sz="4" w:space="0"/>
            </w:tcBorders>
            <w:shd w:val="clear" w:color="auto" w:fill="D9D9D9"/>
          </w:tcPr>
          <w:p w:rsidRPr="00541EF8" w:rsidR="00B77E00" w:rsidRDefault="00814350">
            <w:pPr>
              <w:spacing w:after="0" w:line="259" w:lineRule="auto"/>
              <w:ind w:left="1" w:firstLine="0"/>
              <w:jc w:val="left"/>
            </w:pPr>
            <w:r w:rsidRPr="00541EF8">
              <w:t xml:space="preserve">4.1. </w:t>
            </w:r>
          </w:p>
        </w:tc>
        <w:tc>
          <w:tcPr>
            <w:tcW w:w="1538" w:type="dxa"/>
            <w:tcBorders>
              <w:top w:val="single" w:color="000000" w:sz="4" w:space="0"/>
              <w:left w:val="single" w:color="000000" w:sz="4" w:space="0"/>
              <w:bottom w:val="single" w:color="000000" w:sz="4" w:space="0"/>
              <w:right w:val="single" w:color="000000" w:sz="4" w:space="0"/>
            </w:tcBorders>
          </w:tcPr>
          <w:p w:rsidRPr="00541EF8" w:rsidR="00B77E00" w:rsidRDefault="00814350">
            <w:pPr>
              <w:spacing w:after="0" w:line="259" w:lineRule="auto"/>
              <w:ind w:left="4" w:firstLine="0"/>
              <w:jc w:val="left"/>
            </w:pPr>
            <w:r w:rsidRPr="00541EF8">
              <w:rPr>
                <w:sz w:val="36"/>
              </w:rPr>
              <w:t>□</w:t>
            </w:r>
            <w:r w:rsidRPr="00541EF8">
              <w:t xml:space="preserve"> </w:t>
            </w:r>
          </w:p>
        </w:tc>
        <w:tc>
          <w:tcPr>
            <w:tcW w:w="6306" w:type="dxa"/>
            <w:tcBorders>
              <w:top w:val="single" w:color="000000" w:sz="4" w:space="0"/>
              <w:left w:val="single" w:color="000000" w:sz="4" w:space="0"/>
              <w:bottom w:val="single" w:color="000000" w:sz="4" w:space="0"/>
              <w:right w:val="single" w:color="000000" w:sz="4" w:space="0"/>
            </w:tcBorders>
          </w:tcPr>
          <w:p w:rsidRPr="00541EF8" w:rsidR="00B77E00" w:rsidRDefault="00814350">
            <w:pPr>
              <w:spacing w:after="0" w:line="259" w:lineRule="auto"/>
              <w:ind w:left="0" w:firstLine="0"/>
              <w:jc w:val="left"/>
              <w:rPr>
                <w:szCs w:val="22"/>
              </w:rPr>
            </w:pPr>
            <w:r w:rsidRPr="00541EF8">
              <w:t xml:space="preserve">Tax resident in Slovenia, constituent entity of the multinational group of enterprises, no </w:t>
            </w:r>
            <w:proofErr w:type="spellStart"/>
            <w:r w:rsidRPr="00541EF8">
              <w:t>CbCR</w:t>
            </w:r>
            <w:proofErr w:type="spellEnd"/>
            <w:r w:rsidRPr="00541EF8">
              <w:t xml:space="preserve"> obligation </w:t>
            </w:r>
          </w:p>
        </w:tc>
      </w:tr>
      <w:tr w:rsidRPr="00541EF8" w:rsidR="00B77E00">
        <w:trPr>
          <w:trHeight w:val="592"/>
        </w:trPr>
        <w:tc>
          <w:tcPr>
            <w:tcW w:w="1224" w:type="dxa"/>
            <w:tcBorders>
              <w:top w:val="single" w:color="000000" w:sz="4" w:space="0"/>
              <w:left w:val="single" w:color="000000" w:sz="4" w:space="0"/>
              <w:bottom w:val="single" w:color="000000" w:sz="4" w:space="0"/>
              <w:right w:val="single" w:color="000000" w:sz="4" w:space="0"/>
            </w:tcBorders>
            <w:shd w:val="clear" w:color="auto" w:fill="D9D9D9"/>
          </w:tcPr>
          <w:p w:rsidRPr="00541EF8" w:rsidR="00B77E00" w:rsidRDefault="00814350">
            <w:pPr>
              <w:spacing w:after="0" w:line="259" w:lineRule="auto"/>
              <w:ind w:left="1" w:firstLine="0"/>
              <w:jc w:val="left"/>
            </w:pPr>
            <w:r w:rsidRPr="00541EF8">
              <w:t xml:space="preserve">4.2. </w:t>
            </w:r>
          </w:p>
        </w:tc>
        <w:tc>
          <w:tcPr>
            <w:tcW w:w="1538" w:type="dxa"/>
            <w:tcBorders>
              <w:top w:val="single" w:color="000000" w:sz="4" w:space="0"/>
              <w:left w:val="single" w:color="000000" w:sz="4" w:space="0"/>
              <w:bottom w:val="single" w:color="000000" w:sz="4" w:space="0"/>
              <w:right w:val="single" w:color="000000" w:sz="4" w:space="0"/>
            </w:tcBorders>
          </w:tcPr>
          <w:p w:rsidRPr="00541EF8" w:rsidR="00B77E00" w:rsidRDefault="00814350">
            <w:pPr>
              <w:spacing w:after="0" w:line="259" w:lineRule="auto"/>
              <w:ind w:left="4" w:firstLine="0"/>
              <w:jc w:val="left"/>
            </w:pPr>
            <w:r w:rsidRPr="00541EF8">
              <w:rPr>
                <w:sz w:val="36"/>
              </w:rPr>
              <w:t>□</w:t>
            </w:r>
            <w:r w:rsidRPr="00541EF8">
              <w:t xml:space="preserve"> </w:t>
            </w:r>
          </w:p>
        </w:tc>
        <w:tc>
          <w:tcPr>
            <w:tcW w:w="6306" w:type="dxa"/>
            <w:tcBorders>
              <w:top w:val="single" w:color="000000" w:sz="4" w:space="0"/>
              <w:left w:val="single" w:color="000000" w:sz="4" w:space="0"/>
              <w:bottom w:val="single" w:color="000000" w:sz="4" w:space="0"/>
              <w:right w:val="single" w:color="000000" w:sz="4" w:space="0"/>
            </w:tcBorders>
          </w:tcPr>
          <w:p w:rsidRPr="00541EF8" w:rsidR="00B77E00" w:rsidRDefault="00814350">
            <w:pPr>
              <w:spacing w:after="0" w:line="259" w:lineRule="auto"/>
              <w:ind w:left="0" w:firstLine="0"/>
              <w:jc w:val="left"/>
            </w:pPr>
            <w:r w:rsidRPr="00541EF8">
              <w:t xml:space="preserve">Establishment of an entity that is not resident for tax purposes in Slovenia and is a constituent entity of the MNE group  </w:t>
            </w:r>
          </w:p>
        </w:tc>
      </w:tr>
    </w:tbl>
    <w:p w:rsidRPr="00541EF8" w:rsidR="00B77E00" w:rsidRDefault="00B77E00">
      <w:pPr>
        <w:spacing w:after="0" w:line="259" w:lineRule="auto"/>
        <w:ind w:left="0" w:firstLine="0"/>
        <w:jc w:val="left"/>
      </w:pPr>
    </w:p>
    <w:p w:rsidRPr="00541EF8" w:rsidR="00B77E00" w:rsidRDefault="00814350">
      <w:pPr>
        <w:pStyle w:val="Heading1"/>
      </w:pPr>
      <w:r w:rsidRPr="00541EF8">
        <w:t>INSTRUCTIONS ON COMPLETING THE FORM</w:t>
      </w:r>
    </w:p>
    <w:p w:rsidRPr="00541EF8" w:rsidR="00B77E00" w:rsidRDefault="00B77E00">
      <w:pPr>
        <w:spacing w:after="13" w:line="259" w:lineRule="auto"/>
        <w:ind w:left="0" w:firstLine="0"/>
        <w:jc w:val="left"/>
      </w:pPr>
    </w:p>
    <w:p w:rsidRPr="00541EF8" w:rsidR="00B77E00" w:rsidRDefault="00814350">
      <w:pPr>
        <w:pStyle w:val="Heading2"/>
        <w:ind w:left="-5"/>
        <w:rPr>
          <w:szCs w:val="22"/>
        </w:rPr>
      </w:pPr>
      <w:r w:rsidRPr="00541EF8">
        <w:t xml:space="preserve">NOTIFICATION OF A COUNTRY-BY-COUNTRY REPORTING OBLIGATION OF A MULTINATIONAL GROUP OF ENTERPRISES – </w:t>
      </w:r>
      <w:proofErr w:type="spellStart"/>
      <w:r w:rsidRPr="00541EF8">
        <w:t>CbCR</w:t>
      </w:r>
      <w:proofErr w:type="spellEnd"/>
      <w:r w:rsidRPr="00541EF8">
        <w:t xml:space="preserve"> NOTIFICATION</w:t>
      </w:r>
    </w:p>
    <w:p w:rsidRPr="00541EF8" w:rsidR="00B77E00" w:rsidRDefault="00B77E00">
      <w:pPr>
        <w:spacing w:after="16" w:line="259" w:lineRule="auto"/>
        <w:ind w:left="0" w:firstLine="0"/>
        <w:jc w:val="left"/>
      </w:pPr>
    </w:p>
    <w:p w:rsidRPr="00541EF8" w:rsidR="00B77E00" w:rsidRDefault="00814350">
      <w:pPr>
        <w:ind w:left="-5"/>
      </w:pPr>
      <w:r w:rsidRPr="00541EF8">
        <w:t xml:space="preserve">A </w:t>
      </w:r>
      <w:r w:rsidRPr="00541EF8">
        <w:rPr>
          <w:b/>
        </w:rPr>
        <w:t xml:space="preserve">notification of a country-by-country reporting obligation of a multinational group of enterprises – </w:t>
      </w:r>
      <w:proofErr w:type="spellStart"/>
      <w:r w:rsidRPr="00541EF8">
        <w:rPr>
          <w:b/>
        </w:rPr>
        <w:t>CbCR</w:t>
      </w:r>
      <w:proofErr w:type="spellEnd"/>
      <w:r w:rsidRPr="00541EF8">
        <w:rPr>
          <w:b/>
        </w:rPr>
        <w:t xml:space="preserve"> notification</w:t>
      </w:r>
      <w:r w:rsidRPr="00541EF8">
        <w:t xml:space="preserve"> must be completed by a taxable person that is a part/constituent entity of an MNE Group that includes two or more enterprises the tax residence for which is in different jurisdictions, or includes an enterprise that is resident for tax purposes in one jurisdiction and is subject to tax with respect to the business carried out through a permanent establishment in another jurisdiction, provided that the total consolidated group revenue during the fiscal year immediately preceding the reporting fiscal year is equal to or greater than EUR 750 000 000. An MNE Group of this type is obliged to draw up and file a country-by-country report (</w:t>
      </w:r>
      <w:proofErr w:type="spellStart"/>
      <w:r w:rsidRPr="00541EF8">
        <w:t>CbCR</w:t>
      </w:r>
      <w:proofErr w:type="spellEnd"/>
      <w:r w:rsidRPr="00541EF8">
        <w:t xml:space="preserve">) in accordance with Council Directive (EU) 2016/881 (the Directive) or under the Multilateral Competent Authority Agreement on the Exchange of Country-by-Country Reports (MCAA </w:t>
      </w:r>
      <w:proofErr w:type="spellStart"/>
      <w:r w:rsidRPr="00541EF8">
        <w:t>CbCR</w:t>
      </w:r>
      <w:proofErr w:type="spellEnd"/>
      <w:r w:rsidRPr="00541EF8">
        <w:t>).</w:t>
      </w:r>
    </w:p>
    <w:p w:rsidRPr="00541EF8" w:rsidR="00B77E00" w:rsidRDefault="00B77E00">
      <w:pPr>
        <w:spacing w:after="49" w:line="259" w:lineRule="auto"/>
        <w:ind w:left="0" w:firstLine="0"/>
        <w:jc w:val="left"/>
      </w:pPr>
    </w:p>
    <w:p w:rsidRPr="00541EF8" w:rsidR="00B77E00" w:rsidRDefault="00814350">
      <w:pPr>
        <w:ind w:left="-5"/>
      </w:pPr>
      <w:r w:rsidRPr="00541EF8">
        <w:t xml:space="preserve">The content of the </w:t>
      </w:r>
      <w:proofErr w:type="spellStart"/>
      <w:r w:rsidRPr="00541EF8">
        <w:t>CbCR</w:t>
      </w:r>
      <w:proofErr w:type="spellEnd"/>
      <w:r w:rsidRPr="00541EF8">
        <w:t xml:space="preserve"> notification and the method of filing the </w:t>
      </w:r>
      <w:proofErr w:type="spellStart"/>
      <w:r w:rsidRPr="00541EF8">
        <w:t>CbCR</w:t>
      </w:r>
      <w:proofErr w:type="spellEnd"/>
      <w:r w:rsidRPr="00541EF8">
        <w:t xml:space="preserve"> notification to the tax authority are laid down in Article 86e of the Rules on the implementation of the Tax Procedure Act (Official Gazette of the Republic of Slovenia Nos </w:t>
      </w:r>
      <w:hyperlink r:id="rId7">
        <w:r w:rsidRPr="00541EF8">
          <w:t>141/06,</w:t>
        </w:r>
      </w:hyperlink>
      <w:hyperlink r:id="rId8">
        <w:r w:rsidRPr="00541EF8">
          <w:t xml:space="preserve"> 46/07,</w:t>
        </w:r>
      </w:hyperlink>
      <w:hyperlink r:id="rId9">
        <w:r w:rsidRPr="00541EF8">
          <w:t xml:space="preserve"> 102/07,</w:t>
        </w:r>
      </w:hyperlink>
      <w:r w:rsidRPr="00541EF8">
        <w:t xml:space="preserve"> </w:t>
      </w:r>
      <w:hyperlink r:id="rId10">
        <w:r w:rsidRPr="00541EF8">
          <w:t>28/09,</w:t>
        </w:r>
      </w:hyperlink>
      <w:hyperlink r:id="rId11">
        <w:r w:rsidRPr="00541EF8">
          <w:t xml:space="preserve"> 101/11,</w:t>
        </w:r>
      </w:hyperlink>
      <w:hyperlink r:id="rId12">
        <w:r w:rsidRPr="00541EF8">
          <w:t xml:space="preserve"> 24/12,</w:t>
        </w:r>
      </w:hyperlink>
      <w:hyperlink r:id="rId13">
        <w:r w:rsidRPr="00541EF8">
          <w:t xml:space="preserve"> 32/12</w:t>
        </w:r>
      </w:hyperlink>
      <w:hyperlink r:id="rId14">
        <w:r w:rsidRPr="00541EF8">
          <w:t xml:space="preserve"> </w:t>
        </w:r>
      </w:hyperlink>
      <w:r w:rsidRPr="00541EF8">
        <w:t xml:space="preserve">[ZDavP-2E], </w:t>
      </w:r>
      <w:hyperlink r:id="rId15">
        <w:r w:rsidRPr="00541EF8">
          <w:t>19/13,</w:t>
        </w:r>
      </w:hyperlink>
      <w:hyperlink r:id="rId16">
        <w:r w:rsidRPr="00541EF8">
          <w:t xml:space="preserve"> 45/14,</w:t>
        </w:r>
      </w:hyperlink>
      <w:hyperlink r:id="rId17">
        <w:r w:rsidRPr="00541EF8">
          <w:t xml:space="preserve"> 97/14,</w:t>
        </w:r>
      </w:hyperlink>
      <w:hyperlink r:id="rId18">
        <w:r w:rsidRPr="00541EF8">
          <w:t xml:space="preserve"> 39/15,</w:t>
        </w:r>
      </w:hyperlink>
      <w:hyperlink r:id="rId19">
        <w:r w:rsidRPr="00541EF8">
          <w:t xml:space="preserve"> 40/16,</w:t>
        </w:r>
      </w:hyperlink>
      <w:hyperlink r:id="rId20">
        <w:r w:rsidRPr="00541EF8">
          <w:t xml:space="preserve"> 85/16</w:t>
        </w:r>
      </w:hyperlink>
      <w:hyperlink r:id="rId21">
        <w:r w:rsidRPr="00541EF8">
          <w:t xml:space="preserve"> </w:t>
        </w:r>
      </w:hyperlink>
      <w:r w:rsidRPr="00541EF8">
        <w:t>and 30/17). A taxable</w:t>
      </w:r>
    </w:p>
    <w:p w:rsidRPr="00541EF8" w:rsidR="00B77E00" w:rsidRDefault="00814350">
      <w:pPr>
        <w:ind w:left="-5"/>
      </w:pPr>
      <w:r w:rsidRPr="00541EF8">
        <w:t xml:space="preserve">person must file a </w:t>
      </w:r>
      <w:proofErr w:type="spellStart"/>
      <w:r w:rsidRPr="00541EF8">
        <w:t>CbCR</w:t>
      </w:r>
      <w:proofErr w:type="spellEnd"/>
      <w:r w:rsidRPr="00541EF8">
        <w:t xml:space="preserve"> notification to the tax authority in electronic form at the same time as filing the corporate tax return. The </w:t>
      </w:r>
      <w:proofErr w:type="spellStart"/>
      <w:r w:rsidRPr="00541EF8">
        <w:t>CbCR</w:t>
      </w:r>
      <w:proofErr w:type="spellEnd"/>
      <w:r w:rsidRPr="00541EF8">
        <w:t xml:space="preserve"> notification is therefore filed using the same software used for filing the corporate tax return, which means that the taxable person is able to file the corporate tax return and the </w:t>
      </w:r>
      <w:proofErr w:type="spellStart"/>
      <w:r w:rsidRPr="00541EF8">
        <w:t>CbCR</w:t>
      </w:r>
      <w:proofErr w:type="spellEnd"/>
      <w:r w:rsidRPr="00541EF8">
        <w:t xml:space="preserve"> notification at the same time.</w:t>
      </w:r>
    </w:p>
    <w:p w:rsidRPr="00541EF8" w:rsidR="00B77E00" w:rsidRDefault="00B77E00">
      <w:pPr>
        <w:spacing w:after="19" w:line="259" w:lineRule="auto"/>
        <w:ind w:left="0" w:firstLine="0"/>
        <w:jc w:val="left"/>
      </w:pPr>
    </w:p>
    <w:p w:rsidRPr="00541EF8" w:rsidR="00B77E00" w:rsidRDefault="00814350">
      <w:pPr>
        <w:pStyle w:val="Heading2"/>
        <w:ind w:left="-5"/>
      </w:pPr>
      <w:r w:rsidRPr="00541EF8">
        <w:t xml:space="preserve">Filling in the </w:t>
      </w:r>
      <w:proofErr w:type="spellStart"/>
      <w:r w:rsidRPr="00541EF8">
        <w:t>CbCR</w:t>
      </w:r>
      <w:proofErr w:type="spellEnd"/>
      <w:r w:rsidRPr="00541EF8">
        <w:t xml:space="preserve"> notification form</w:t>
      </w:r>
    </w:p>
    <w:p w:rsidRPr="00541EF8" w:rsidR="00B77E00" w:rsidRDefault="00B77E00">
      <w:pPr>
        <w:spacing w:after="27" w:line="259" w:lineRule="auto"/>
        <w:ind w:left="0" w:firstLine="0"/>
        <w:jc w:val="left"/>
      </w:pPr>
    </w:p>
    <w:p w:rsidRPr="00541EF8" w:rsidR="00B77E00" w:rsidRDefault="00814350">
      <w:pPr>
        <w:ind w:left="-5"/>
      </w:pPr>
      <w:r w:rsidRPr="00541EF8">
        <w:t xml:space="preserve">Taxable persons that are part of an MNE Group whose total consolidated income in the financial year immediately preceding the reporting financial year is equal to or exceeds EUR 750 000 000 must tick the relevant field in the general information of the corporate income tax return. If they are part of such a group, they must then enter the other information in the </w:t>
      </w:r>
      <w:proofErr w:type="spellStart"/>
      <w:r w:rsidRPr="00541EF8">
        <w:t>CbCR</w:t>
      </w:r>
      <w:proofErr w:type="spellEnd"/>
      <w:r w:rsidRPr="00541EF8">
        <w:t xml:space="preserve"> notification Annex.</w:t>
      </w:r>
    </w:p>
    <w:p w:rsidRPr="00541EF8" w:rsidR="00B77E00" w:rsidRDefault="00B77E00">
      <w:pPr>
        <w:spacing w:after="19" w:line="259" w:lineRule="auto"/>
        <w:ind w:left="0" w:firstLine="0"/>
        <w:jc w:val="left"/>
      </w:pPr>
    </w:p>
    <w:p w:rsidRPr="00541EF8" w:rsidR="00B77E00" w:rsidRDefault="00814350">
      <w:pPr>
        <w:pStyle w:val="Heading2"/>
        <w:spacing w:after="29"/>
        <w:ind w:left="-5"/>
      </w:pPr>
      <w:r w:rsidRPr="00541EF8">
        <w:lastRenderedPageBreak/>
        <w:t>A. Details of the MNE Group</w:t>
      </w:r>
    </w:p>
    <w:p w:rsidRPr="00541EF8" w:rsidR="00B77E00" w:rsidRDefault="00B77E00">
      <w:pPr>
        <w:spacing w:after="0" w:line="259" w:lineRule="auto"/>
        <w:ind w:left="0" w:firstLine="0"/>
        <w:jc w:val="left"/>
      </w:pPr>
    </w:p>
    <w:p w:rsidRPr="00541EF8" w:rsidR="00B77E00" w:rsidRDefault="00814350">
      <w:pPr>
        <w:ind w:left="-5"/>
      </w:pPr>
      <w:r w:rsidRPr="00541EF8">
        <w:rPr>
          <w:b/>
        </w:rPr>
        <w:t>1.</w:t>
      </w:r>
      <w:r w:rsidRPr="00541EF8">
        <w:t>: The taxable person must enter the name of the MNE Group. If the MNE Group does not have a specific name, the name of the ultimate parent entity of the group should be entered. Example: name of the MNE Group: Google, ultimate parent entity of the group: Alphabet Inc.</w:t>
      </w:r>
    </w:p>
    <w:p w:rsidRPr="00541EF8" w:rsidR="00B77E00" w:rsidRDefault="00B77E00">
      <w:pPr>
        <w:spacing w:after="47" w:line="259" w:lineRule="auto"/>
        <w:ind w:left="0" w:firstLine="0"/>
        <w:jc w:val="left"/>
      </w:pPr>
    </w:p>
    <w:p w:rsidRPr="00541EF8" w:rsidR="00B77E00" w:rsidRDefault="00814350">
      <w:pPr>
        <w:ind w:left="-5"/>
      </w:pPr>
      <w:r w:rsidRPr="00541EF8">
        <w:rPr>
          <w:b/>
        </w:rPr>
        <w:t>2.1 and 2.2</w:t>
      </w:r>
      <w:r w:rsidRPr="00541EF8">
        <w:t xml:space="preserve">:  the taxable person must enter the name of the ultimate parent entity and select the country in which the ultimate parent entity is resident for tax purposes. If the ultimate parent entity is a taxable person under ZDDPO‑2, it enters </w:t>
      </w:r>
      <w:proofErr w:type="gramStart"/>
      <w:r w:rsidRPr="00541EF8">
        <w:t>its</w:t>
      </w:r>
      <w:proofErr w:type="gramEnd"/>
      <w:r w:rsidRPr="00541EF8">
        <w:t xml:space="preserve"> name in the </w:t>
      </w:r>
      <w:proofErr w:type="spellStart"/>
      <w:r w:rsidRPr="00541EF8">
        <w:t>CbCR</w:t>
      </w:r>
      <w:proofErr w:type="spellEnd"/>
      <w:r w:rsidRPr="00541EF8">
        <w:t xml:space="preserve"> notification and selects Slovenia as its country of residence for tax purposes. A constituent entity of an MNE Group that owns, directly or indirectly, a sufficient shareholding in one or more other constituent entities of the MNE Group such that it is required to prepare consolidated financial statements under accounting principles generally applied in its jurisdiction of tax residence, or would be required to do so if its equity interests were traded on a public securities exchange in its tax residence jurisdiction and there is no other constituent entity of the MNE Group that owns a shareholding, directly or indirectly, is considered to be the ultimate parent entity.</w:t>
      </w:r>
    </w:p>
    <w:p w:rsidRPr="00541EF8" w:rsidR="00B77E00" w:rsidRDefault="00B77E00">
      <w:pPr>
        <w:spacing w:after="0" w:line="259" w:lineRule="auto"/>
        <w:ind w:left="0" w:firstLine="0"/>
        <w:jc w:val="left"/>
      </w:pPr>
    </w:p>
    <w:p w:rsidRPr="00541EF8" w:rsidR="00B77E00" w:rsidRDefault="00B77E00">
      <w:pPr>
        <w:spacing w:after="32" w:line="259" w:lineRule="auto"/>
        <w:ind w:left="0" w:firstLine="0"/>
        <w:jc w:val="left"/>
      </w:pPr>
    </w:p>
    <w:p w:rsidRPr="00541EF8" w:rsidR="00B77E00" w:rsidRDefault="00814350">
      <w:pPr>
        <w:pStyle w:val="Heading2"/>
        <w:ind w:left="-5"/>
      </w:pPr>
      <w:r w:rsidRPr="00541EF8">
        <w:t>B. Details of the reporting entity for the MNE Group</w:t>
      </w:r>
    </w:p>
    <w:p w:rsidRPr="00541EF8" w:rsidR="00B77E00" w:rsidRDefault="00B77E00">
      <w:pPr>
        <w:spacing w:after="41" w:line="259" w:lineRule="auto"/>
        <w:ind w:left="0" w:firstLine="0"/>
        <w:jc w:val="left"/>
      </w:pPr>
    </w:p>
    <w:p w:rsidRPr="00541EF8" w:rsidR="00B77E00" w:rsidRDefault="00814350">
      <w:pPr>
        <w:ind w:left="-5"/>
      </w:pPr>
      <w:r w:rsidRPr="00541EF8">
        <w:t xml:space="preserve">In this data set, the taxable person communicates to the tax authority which constituent entity in its tax jurisdiction will, on behalf of the MNE Group, file a </w:t>
      </w:r>
      <w:proofErr w:type="spellStart"/>
      <w:r w:rsidRPr="00541EF8">
        <w:t>CbCR</w:t>
      </w:r>
      <w:proofErr w:type="spellEnd"/>
      <w:r w:rsidRPr="00541EF8">
        <w:t xml:space="preserve"> for the reporting fiscal year covering the tax period of the corporate income tax return to which this </w:t>
      </w:r>
      <w:proofErr w:type="spellStart"/>
      <w:r w:rsidRPr="00541EF8">
        <w:t>CbCR</w:t>
      </w:r>
      <w:proofErr w:type="spellEnd"/>
      <w:r w:rsidRPr="00541EF8">
        <w:t xml:space="preserve"> notification is attached. The taxable person also defines the role of the reporting entity in MNE Group. A taxable person under ZDDPO‑2 who files a </w:t>
      </w:r>
      <w:proofErr w:type="spellStart"/>
      <w:r w:rsidRPr="00541EF8">
        <w:t>CbCR</w:t>
      </w:r>
      <w:proofErr w:type="spellEnd"/>
      <w:r w:rsidRPr="00541EF8">
        <w:t xml:space="preserve"> notification may also be listed as a reporting entity. The taxable person defines its role as reporting entity in the MNE Group in this case as well.</w:t>
      </w:r>
    </w:p>
    <w:p w:rsidRPr="00541EF8" w:rsidR="00B77E00" w:rsidRDefault="00B77E00">
      <w:pPr>
        <w:spacing w:after="49" w:line="259" w:lineRule="auto"/>
        <w:ind w:left="0" w:firstLine="0"/>
        <w:jc w:val="left"/>
      </w:pPr>
    </w:p>
    <w:p w:rsidRPr="00541EF8" w:rsidR="00B77E00" w:rsidRDefault="00814350">
      <w:pPr>
        <w:ind w:left="-5"/>
      </w:pPr>
      <w:r w:rsidRPr="00541EF8">
        <w:rPr>
          <w:b/>
        </w:rPr>
        <w:t>3.1 and 3.2</w:t>
      </w:r>
      <w:r w:rsidRPr="00541EF8">
        <w:t xml:space="preserve">: the taxable person enters the name of the reporting entity/constituent entity that will file a </w:t>
      </w:r>
      <w:proofErr w:type="spellStart"/>
      <w:r w:rsidRPr="00541EF8">
        <w:t>CbCR</w:t>
      </w:r>
      <w:proofErr w:type="spellEnd"/>
      <w:r w:rsidRPr="00541EF8">
        <w:t xml:space="preserve"> in the country of residence for tax purposes and selects the country in which the reporting entity is resident for tax purposes. If the reporting entity is a taxable person under ZDDPO‑2, they enter their name and select Slovenia as the country of residence for tax purposes.</w:t>
      </w:r>
    </w:p>
    <w:p w:rsidRPr="00541EF8" w:rsidR="00B77E00" w:rsidRDefault="00B77E00">
      <w:pPr>
        <w:spacing w:after="31" w:line="259" w:lineRule="auto"/>
        <w:ind w:left="0" w:firstLine="0"/>
        <w:jc w:val="left"/>
      </w:pPr>
    </w:p>
    <w:p w:rsidRPr="00541EF8" w:rsidR="00B77E00" w:rsidRDefault="00814350">
      <w:pPr>
        <w:ind w:left="-5"/>
      </w:pPr>
      <w:r w:rsidRPr="00541EF8">
        <w:rPr>
          <w:b/>
        </w:rPr>
        <w:t>3.3</w:t>
      </w:r>
      <w:r w:rsidRPr="00541EF8">
        <w:t>: the taxable person selects one of the options that define their role of reporting entity in the MNE Group.</w:t>
      </w:r>
    </w:p>
    <w:p w:rsidRPr="00541EF8" w:rsidR="00B77E00" w:rsidRDefault="00B77E00">
      <w:pPr>
        <w:spacing w:after="54" w:line="259" w:lineRule="auto"/>
        <w:ind w:left="0" w:firstLine="0"/>
        <w:jc w:val="left"/>
      </w:pPr>
    </w:p>
    <w:p w:rsidRPr="00541EF8" w:rsidR="00B77E00" w:rsidRDefault="00814350">
      <w:pPr>
        <w:ind w:left="-5"/>
      </w:pPr>
      <w:r w:rsidRPr="00541EF8">
        <w:t>As a rule, the reporting entity is the ultimate parent entity (</w:t>
      </w:r>
      <w:r w:rsidRPr="00541EF8">
        <w:rPr>
          <w:b/>
        </w:rPr>
        <w:t>3.3.1</w:t>
      </w:r>
      <w:r w:rsidRPr="00541EF8">
        <w:t xml:space="preserve">). Instead of the ultimate parent entity, the reporting entity may be a surrogate parent entity designated by the MNE group as the sole substitute for the ultimate parent entity to file the </w:t>
      </w:r>
      <w:proofErr w:type="spellStart"/>
      <w:r w:rsidRPr="00541EF8">
        <w:t>CbCR</w:t>
      </w:r>
      <w:proofErr w:type="spellEnd"/>
      <w:r w:rsidRPr="00541EF8">
        <w:t xml:space="preserve"> on behalf of the group (</w:t>
      </w:r>
      <w:r w:rsidRPr="00541EF8">
        <w:rPr>
          <w:b/>
        </w:rPr>
        <w:t>3.3.2</w:t>
      </w:r>
      <w:r w:rsidRPr="00541EF8">
        <w:t>). For a surrogate parent entity to be designated, at least one of the conditions referred to in sub-point (b) of point 1 of Section II, Annex III of the Directive must be met. If the surrogate parent entity is resident in a non-EU jurisdiction for tax purposes, it must meet the conditions referred to in points (a) to (e) of point 2 of</w:t>
      </w:r>
    </w:p>
    <w:p w:rsidRPr="00541EF8" w:rsidR="00B77E00" w:rsidRDefault="00814350">
      <w:pPr>
        <w:ind w:left="-5"/>
      </w:pPr>
      <w:r w:rsidRPr="00541EF8">
        <w:t>Section II, Annex III of the Directive.</w:t>
      </w:r>
    </w:p>
    <w:p w:rsidRPr="00541EF8" w:rsidR="00B77E00" w:rsidRDefault="00B77E00">
      <w:pPr>
        <w:spacing w:after="17" w:line="259" w:lineRule="auto"/>
        <w:ind w:left="0" w:firstLine="0"/>
        <w:jc w:val="left"/>
      </w:pPr>
    </w:p>
    <w:p w:rsidRPr="00541EF8" w:rsidR="00B77E00" w:rsidRDefault="00814350">
      <w:pPr>
        <w:ind w:left="-5"/>
      </w:pPr>
      <w:r w:rsidRPr="00541EF8">
        <w:t xml:space="preserve">If the </w:t>
      </w:r>
      <w:proofErr w:type="spellStart"/>
      <w:r w:rsidRPr="00541EF8">
        <w:t>CbCR</w:t>
      </w:r>
      <w:proofErr w:type="spellEnd"/>
      <w:r w:rsidRPr="00541EF8">
        <w:t xml:space="preserve"> is not filed by the ultimate parent entity, a surrogate parent entity is not designated and there is more than one constituent entity in the MNE Group that is resident in the EU for tax purposes, that group may designate one of the constituent entities to file the </w:t>
      </w:r>
      <w:proofErr w:type="spellStart"/>
      <w:r w:rsidRPr="00541EF8">
        <w:t>CbCR</w:t>
      </w:r>
      <w:proofErr w:type="spellEnd"/>
      <w:r w:rsidRPr="00541EF8">
        <w:t xml:space="preserve"> for all constituent entities of the </w:t>
      </w:r>
      <w:r w:rsidRPr="00541EF8">
        <w:lastRenderedPageBreak/>
        <w:t>group that are resident in the EU for tax purposes (fourth paragraph of point 1, Section II, Annex III of the Directive) (</w:t>
      </w:r>
      <w:r w:rsidRPr="00541EF8">
        <w:rPr>
          <w:b/>
        </w:rPr>
        <w:t>3.3.3</w:t>
      </w:r>
      <w:r w:rsidRPr="00541EF8">
        <w:t>).</w:t>
      </w:r>
    </w:p>
    <w:p w:rsidRPr="00541EF8" w:rsidR="00B77E00" w:rsidRDefault="00B77E00">
      <w:pPr>
        <w:spacing w:after="24" w:line="259" w:lineRule="auto"/>
        <w:ind w:left="0" w:firstLine="0"/>
        <w:jc w:val="left"/>
      </w:pPr>
    </w:p>
    <w:p w:rsidRPr="00541EF8" w:rsidR="00B77E00" w:rsidRDefault="00814350">
      <w:pPr>
        <w:ind w:left="-5"/>
      </w:pPr>
      <w:r w:rsidRPr="00541EF8">
        <w:t xml:space="preserve">If no other constituent entity of an MNE Group, of those mentioned above, is designated or appointed as the reporting entity, and that group has a constituent entity that is a taxable person under ZDDPO‑2, the taxable person is required to file the </w:t>
      </w:r>
      <w:proofErr w:type="spellStart"/>
      <w:r w:rsidRPr="00541EF8">
        <w:t>CbCR</w:t>
      </w:r>
      <w:proofErr w:type="spellEnd"/>
      <w:r w:rsidRPr="00541EF8">
        <w:t xml:space="preserve"> (</w:t>
      </w:r>
      <w:r w:rsidRPr="00541EF8">
        <w:rPr>
          <w:b/>
        </w:rPr>
        <w:t>3.3.4</w:t>
      </w:r>
      <w:r w:rsidRPr="00541EF8">
        <w:t xml:space="preserve">). This means that the taxable person must be entered under the name of the reporting entity and Slovenia selected as the country of residence for tax purposes. In this case, the taxable person must also indicate whether or not they will have at their disposal all the information required to draw up the </w:t>
      </w:r>
      <w:proofErr w:type="spellStart"/>
      <w:r w:rsidRPr="00541EF8">
        <w:t>CbCR</w:t>
      </w:r>
      <w:proofErr w:type="spellEnd"/>
      <w:r w:rsidRPr="00541EF8">
        <w:t xml:space="preserve">. If there are several constituent entities in the same MNE Group that are resident in Slovenia for tax purposes and no other constituent entity of that MNE Group has been designated or appointed as the reporting entity, then those entities resident in Slovenia for tax purposes may agree among themselves and decide that the </w:t>
      </w:r>
      <w:proofErr w:type="spellStart"/>
      <w:r w:rsidRPr="00541EF8">
        <w:t>CbCR</w:t>
      </w:r>
      <w:proofErr w:type="spellEnd"/>
      <w:r w:rsidRPr="00541EF8">
        <w:t xml:space="preserve"> report will be filed by only one of them. In this case, they must inform the tax authority of this.</w:t>
      </w:r>
    </w:p>
    <w:p w:rsidRPr="00541EF8" w:rsidR="00B77E00" w:rsidRDefault="00B77E00">
      <w:pPr>
        <w:spacing w:after="49" w:line="259" w:lineRule="auto"/>
        <w:ind w:left="0" w:firstLine="0"/>
        <w:jc w:val="left"/>
      </w:pPr>
    </w:p>
    <w:p w:rsidRPr="00541EF8" w:rsidR="00B77E00" w:rsidRDefault="00814350">
      <w:pPr>
        <w:ind w:left="-5"/>
      </w:pPr>
      <w:r w:rsidRPr="00541EF8">
        <w:t xml:space="preserve">Taxable persons resident in Slovenia for tax purposes and identified as reporting entities in the </w:t>
      </w:r>
      <w:proofErr w:type="spellStart"/>
      <w:r w:rsidRPr="00541EF8">
        <w:t>CbCR</w:t>
      </w:r>
      <w:proofErr w:type="spellEnd"/>
      <w:r w:rsidRPr="00541EF8">
        <w:t xml:space="preserve"> notification should file a </w:t>
      </w:r>
      <w:proofErr w:type="spellStart"/>
      <w:r w:rsidRPr="00541EF8">
        <w:t>CbCR</w:t>
      </w:r>
      <w:proofErr w:type="spellEnd"/>
      <w:r w:rsidRPr="00541EF8">
        <w:t xml:space="preserve"> within 12 months of the last day of the reporting tax year (if they complete the </w:t>
      </w:r>
      <w:proofErr w:type="spellStart"/>
      <w:r w:rsidRPr="00541EF8">
        <w:t>CbCR</w:t>
      </w:r>
      <w:proofErr w:type="spellEnd"/>
      <w:r w:rsidRPr="00541EF8">
        <w:t xml:space="preserve"> notification for the tax period from 1 January to 31 December 2017 and are identified as reporting entities, then they will have to file a </w:t>
      </w:r>
      <w:proofErr w:type="spellStart"/>
      <w:r w:rsidRPr="00541EF8">
        <w:t>CbCR</w:t>
      </w:r>
      <w:proofErr w:type="spellEnd"/>
      <w:r w:rsidRPr="00541EF8">
        <w:t xml:space="preserve"> by 31 December 2018).</w:t>
      </w:r>
    </w:p>
    <w:p w:rsidRPr="00541EF8" w:rsidR="00B77E00" w:rsidRDefault="00B77E00">
      <w:pPr>
        <w:spacing w:after="19" w:line="259" w:lineRule="auto"/>
        <w:ind w:left="0" w:firstLine="0"/>
        <w:jc w:val="left"/>
      </w:pPr>
    </w:p>
    <w:p w:rsidRPr="00541EF8" w:rsidR="00B77E00" w:rsidRDefault="00B77E00">
      <w:pPr>
        <w:spacing w:after="14" w:line="259" w:lineRule="auto"/>
        <w:ind w:left="0" w:firstLine="0"/>
        <w:jc w:val="left"/>
      </w:pPr>
    </w:p>
    <w:p w:rsidRPr="00541EF8" w:rsidR="00B77E00" w:rsidRDefault="00B77E00">
      <w:pPr>
        <w:spacing w:after="0" w:line="259" w:lineRule="auto"/>
        <w:ind w:left="0" w:firstLine="0"/>
        <w:jc w:val="left"/>
      </w:pPr>
    </w:p>
    <w:p w:rsidRPr="00541EF8" w:rsidR="00B77E00" w:rsidRDefault="00B77E00">
      <w:pPr>
        <w:spacing w:after="168" w:line="259" w:lineRule="auto"/>
        <w:ind w:left="0" w:firstLine="0"/>
        <w:jc w:val="left"/>
      </w:pPr>
    </w:p>
    <w:p w:rsidRPr="00541EF8" w:rsidR="00B77E00" w:rsidRDefault="00814350">
      <w:pPr>
        <w:pStyle w:val="Heading2"/>
        <w:spacing w:after="27"/>
        <w:ind w:left="-5"/>
      </w:pPr>
      <w:r w:rsidRPr="00541EF8">
        <w:t>C. Role of the taxable person in this MNE Group, if not listed as the reporting entity</w:t>
      </w:r>
    </w:p>
    <w:p w:rsidRPr="00541EF8" w:rsidR="00B77E00" w:rsidRDefault="00B77E00">
      <w:pPr>
        <w:spacing w:after="0" w:line="259" w:lineRule="auto"/>
        <w:ind w:left="0" w:firstLine="0"/>
        <w:jc w:val="left"/>
      </w:pPr>
    </w:p>
    <w:p w:rsidRPr="00541EF8" w:rsidR="00B77E00" w:rsidRDefault="00814350">
      <w:pPr>
        <w:ind w:left="-5"/>
      </w:pPr>
      <w:r w:rsidRPr="00541EF8">
        <w:rPr>
          <w:b/>
        </w:rPr>
        <w:t>4.1 and 4.2</w:t>
      </w:r>
      <w:r w:rsidRPr="00541EF8">
        <w:t xml:space="preserve">: If the taxable person filing the </w:t>
      </w:r>
      <w:proofErr w:type="spellStart"/>
      <w:r w:rsidRPr="00541EF8">
        <w:t>CbCR</w:t>
      </w:r>
      <w:proofErr w:type="spellEnd"/>
      <w:r w:rsidRPr="00541EF8">
        <w:t xml:space="preserve"> notification is a constituent entity of an MNE Group but is not listed as a reporting entity under data set B, indicate whether it is a company that is resident in Slovenia for tax purposes or is an establishment of an entity that is not resident in Slovenia for tax purposes and is a constituent entity of the MNE Group.</w:t>
      </w:r>
    </w:p>
    <w:p w:rsidRPr="00541EF8" w:rsidR="00B77E00" w:rsidRDefault="00B77E00">
      <w:pPr>
        <w:spacing w:after="14" w:line="259" w:lineRule="auto"/>
        <w:ind w:left="0" w:firstLine="0"/>
        <w:jc w:val="left"/>
      </w:pPr>
    </w:p>
    <w:p w:rsidRPr="00541EF8" w:rsidR="00B77E00" w:rsidRDefault="00B77E00">
      <w:pPr>
        <w:spacing w:after="0" w:line="259" w:lineRule="auto"/>
        <w:ind w:left="0" w:firstLine="0"/>
        <w:jc w:val="left"/>
      </w:pPr>
    </w:p>
    <w:sectPr w:rsidRPr="00541EF8" w:rsidR="00B77E00">
      <w:headerReference w:type="even" r:id="rId22"/>
      <w:headerReference w:type="default" r:id="rId23"/>
      <w:headerReference w:type="first" r:id="rId24"/>
      <w:pgSz w:w="11906" w:h="16838"/>
      <w:pgMar w:top="986" w:right="1412" w:bottom="1203" w:left="1419" w:header="71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350" w:rsidRPr="00541EF8" w:rsidRDefault="00814350">
      <w:pPr>
        <w:spacing w:after="0" w:line="240" w:lineRule="auto"/>
      </w:pPr>
      <w:r w:rsidRPr="00541EF8">
        <w:separator/>
      </w:r>
    </w:p>
  </w:endnote>
  <w:endnote w:type="continuationSeparator" w:id="0">
    <w:p w:rsidR="00814350" w:rsidRPr="00541EF8" w:rsidRDefault="00814350">
      <w:pPr>
        <w:spacing w:after="0" w:line="240" w:lineRule="auto"/>
      </w:pPr>
      <w:r w:rsidRPr="00541E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350" w:rsidRPr="00541EF8" w:rsidRDefault="00814350">
      <w:pPr>
        <w:spacing w:after="0" w:line="240" w:lineRule="auto"/>
      </w:pPr>
      <w:r w:rsidRPr="00541EF8">
        <w:separator/>
      </w:r>
    </w:p>
  </w:footnote>
  <w:footnote w:type="continuationSeparator" w:id="0">
    <w:p w:rsidR="00814350" w:rsidRPr="00541EF8" w:rsidRDefault="00814350">
      <w:pPr>
        <w:spacing w:after="0" w:line="240" w:lineRule="auto"/>
      </w:pPr>
      <w:r w:rsidRPr="00541EF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41EF8" w:rsidR="00B77E00" w:rsidRDefault="00814350">
    <w:pPr>
      <w:tabs>
        <w:tab w:val="center" w:pos="4705"/>
        <w:tab w:val="right" w:pos="9076"/>
      </w:tabs>
      <w:spacing w:after="0" w:line="259" w:lineRule="auto"/>
      <w:ind w:left="0" w:firstLine="0"/>
      <w:jc w:val="left"/>
      <w:rPr>
        <w:noProof/>
      </w:rPr>
    </w:pPr>
    <w:r w:rsidRPr="00541EF8">
      <w:rPr>
        <w:b/>
        <w:sz w:val="24"/>
      </w:rPr>
      <w:t xml:space="preserve"> </w:t>
    </w:r>
    <w:r w:rsidRPr="00541EF8">
      <w:rPr>
        <w:b/>
        <w:sz w:val="24"/>
      </w:rPr>
      <w:tab/>
      <w:t xml:space="preserve"> </w:t>
    </w:r>
    <w:r w:rsidRPr="00541EF8">
      <w:rPr>
        <w:b/>
        <w:sz w:val="24"/>
      </w:rPr>
      <w:tab/>
    </w:r>
    <w:proofErr w:type="spellStart"/>
    <w:r w:rsidRPr="00541EF8">
      <w:rPr>
        <w:b/>
        <w:sz w:val="24"/>
      </w:rPr>
      <w:t>CbCR</w:t>
    </w:r>
    <w:proofErr w:type="spellEnd"/>
    <w:r w:rsidRPr="00541EF8">
      <w:rPr>
        <w:b/>
        <w:sz w:val="24"/>
      </w:rPr>
      <w:t xml:space="preserve"> Notification</w:t>
    </w:r>
  </w:p>
  <w:p w:rsidRPr="00541EF8" w:rsidR="00B77E00" w:rsidRDefault="00B77E00">
    <w:pPr>
      <w:spacing w:after="0" w:line="259" w:lineRule="auto"/>
      <w:ind w:left="0" w:firstLine="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41EF8" w:rsidR="00B77E00" w:rsidP="00790CF6" w:rsidRDefault="00814350">
    <w:pPr>
      <w:tabs>
        <w:tab w:val="center" w:pos="4705"/>
        <w:tab w:val="right" w:pos="9076"/>
      </w:tabs>
      <w:spacing w:after="0" w:line="259" w:lineRule="auto"/>
      <w:ind w:left="0" w:firstLine="0"/>
      <w:jc w:val="right"/>
      <w:rPr>
        <w:noProof/>
      </w:rPr>
    </w:pPr>
    <w:proofErr w:type="spellStart"/>
    <w:r w:rsidRPr="00541EF8">
      <w:rPr>
        <w:b/>
        <w:sz w:val="24"/>
      </w:rPr>
      <w:t>CbCR</w:t>
    </w:r>
    <w:proofErr w:type="spellEnd"/>
    <w:r w:rsidRPr="00541EF8">
      <w:rPr>
        <w:b/>
        <w:sz w:val="24"/>
      </w:rPr>
      <w:t xml:space="preserve"> Notification</w:t>
    </w:r>
  </w:p>
  <w:p w:rsidRPr="00541EF8" w:rsidR="00B77E00" w:rsidRDefault="00B77E00">
    <w:pPr>
      <w:spacing w:after="0" w:line="259" w:lineRule="auto"/>
      <w:ind w:left="0" w:firstLine="0"/>
      <w:jc w:val="lef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41EF8" w:rsidR="00B77E00" w:rsidRDefault="00814350">
    <w:pPr>
      <w:tabs>
        <w:tab w:val="center" w:pos="4705"/>
        <w:tab w:val="right" w:pos="9076"/>
      </w:tabs>
      <w:spacing w:after="0" w:line="259" w:lineRule="auto"/>
      <w:ind w:left="0" w:firstLine="0"/>
      <w:jc w:val="left"/>
      <w:rPr>
        <w:noProof/>
      </w:rPr>
    </w:pPr>
    <w:r w:rsidRPr="00541EF8">
      <w:rPr>
        <w:b/>
        <w:sz w:val="24"/>
      </w:rPr>
      <w:t xml:space="preserve"> </w:t>
    </w:r>
    <w:r w:rsidRPr="00541EF8">
      <w:rPr>
        <w:b/>
        <w:sz w:val="24"/>
      </w:rPr>
      <w:tab/>
      <w:t xml:space="preserve"> </w:t>
    </w:r>
    <w:r w:rsidRPr="00541EF8">
      <w:rPr>
        <w:b/>
        <w:sz w:val="24"/>
      </w:rPr>
      <w:tab/>
    </w:r>
    <w:proofErr w:type="spellStart"/>
    <w:r w:rsidRPr="00541EF8">
      <w:rPr>
        <w:b/>
        <w:sz w:val="24"/>
      </w:rPr>
      <w:t>CbCR</w:t>
    </w:r>
    <w:proofErr w:type="spellEnd"/>
    <w:r w:rsidRPr="00541EF8">
      <w:rPr>
        <w:b/>
        <w:sz w:val="24"/>
      </w:rPr>
      <w:t xml:space="preserve"> Notification</w:t>
    </w:r>
  </w:p>
  <w:p w:rsidRPr="00541EF8" w:rsidR="00B77E00" w:rsidRDefault="00B77E00">
    <w:pPr>
      <w:spacing w:after="0" w:line="259" w:lineRule="auto"/>
      <w:ind w:left="0" w:firstLine="0"/>
      <w:jc w:val="lef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0552C"/>
    <w:multiLevelType w:val="hybridMultilevel"/>
    <w:tmpl w:val="913AE432"/>
    <w:lvl w:ilvl="0" w:tplc="080C237C">
      <w:start w:val="1"/>
      <w:numFmt w:val="upperLetter"/>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4BE801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BC42B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72A81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DEC51B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09ABB2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809D2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98A6D6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39C23F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00"/>
    <w:rsid w:val="00061AC8"/>
    <w:rsid w:val="002A2D21"/>
    <w:rsid w:val="00541EF8"/>
    <w:rsid w:val="00677D7D"/>
    <w:rsid w:val="00790CF6"/>
    <w:rsid w:val="00814350"/>
    <w:rsid w:val="008A731F"/>
    <w:rsid w:val="008F71D9"/>
    <w:rsid w:val="00902222"/>
    <w:rsid w:val="00B77E00"/>
    <w:rsid w:val="00BB118E"/>
    <w:rsid w:val="00BE6F47"/>
    <w:rsid w:val="00D966F5"/>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76161A5-C3B3-460D-A8D9-EE4FE9E2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89"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5"/>
      <w:ind w:left="188"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61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C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2513" TargetMode="External"/><Relationship Id="rId13" Type="http://schemas.openxmlformats.org/officeDocument/2006/relationships/hyperlink" Target="http://www.uradni-list.si/1/objava.jsp?sop=2012-01-1402" TargetMode="External"/><Relationship Id="rId18" Type="http://schemas.openxmlformats.org/officeDocument/2006/relationships/hyperlink" Target="http://www.uradni-list.si/1/objava.jsp?sop=2015-01-161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radni-list.si/1/objava.jsp?sop=2016-01-3704" TargetMode="External"/><Relationship Id="rId7" Type="http://schemas.openxmlformats.org/officeDocument/2006/relationships/hyperlink" Target="http://www.uradni-list.si/1/objava.jsp?sop=2006-01-6164" TargetMode="External"/><Relationship Id="rId12" Type="http://schemas.openxmlformats.org/officeDocument/2006/relationships/hyperlink" Target="http://www.uradni-list.si/1/objava.jsp?sop=2012-01-0925" TargetMode="External"/><Relationship Id="rId17" Type="http://schemas.openxmlformats.org/officeDocument/2006/relationships/hyperlink" Target="http://www.uradni-list.si/1/objava.jsp?sop=2014-01-407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4-01-1838" TargetMode="External"/><Relationship Id="rId20" Type="http://schemas.openxmlformats.org/officeDocument/2006/relationships/hyperlink" Target="http://www.uradni-list.si/1/objava.jsp?sop=2016-01-37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4337"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13-01-0659" TargetMode="External"/><Relationship Id="rId23" Type="http://schemas.openxmlformats.org/officeDocument/2006/relationships/header" Target="header2.xml"/><Relationship Id="rId10" Type="http://schemas.openxmlformats.org/officeDocument/2006/relationships/hyperlink" Target="http://www.uradni-list.si/1/objava.jsp?sop=2009-01-1193" TargetMode="External"/><Relationship Id="rId19" Type="http://schemas.openxmlformats.org/officeDocument/2006/relationships/hyperlink" Target="http://www.uradni-list.si/1/objava.jsp?sop=2016-01-1765" TargetMode="External"/><Relationship Id="rId4" Type="http://schemas.openxmlformats.org/officeDocument/2006/relationships/webSettings" Target="webSettings.xml"/><Relationship Id="rId9" Type="http://schemas.openxmlformats.org/officeDocument/2006/relationships/hyperlink" Target="http://www.uradni-list.si/1/objava.jsp?sop=2007-01-5128" TargetMode="External"/><Relationship Id="rId14" Type="http://schemas.openxmlformats.org/officeDocument/2006/relationships/hyperlink" Target="http://www.uradni-list.si/1/objava.jsp?sop=2012-01-1402"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12</ap:TotalTime>
  <ap:Pages>4</ap:Pages>
  <ap:Words>1623</ap:Words>
  <ap:Characters>9136</ap:Characters>
  <ap:Application>Microsoft Office Word</ap:Application>
  <ap:DocSecurity>0</ap:DocSecurity>
  <ap:Lines>76</ap:Lines>
  <ap:Paragraphs>21</ap:Paragraphs>
  <ap:ScaleCrop>false</ap:ScaleCrop>
  <ap:HeadingPairs>
    <vt:vector baseType="variant" size="4">
      <vt:variant>
        <vt:lpstr>Title</vt:lpstr>
      </vt:variant>
      <vt:variant>
        <vt:i4>1</vt:i4>
      </vt:variant>
      <vt:variant>
        <vt:lpstr>Naslov</vt:lpstr>
      </vt:variant>
      <vt:variant>
        <vt:i4>1</vt:i4>
      </vt:variant>
    </vt:vector>
  </ap:HeadingPairs>
  <ap:TitlesOfParts>
    <vt:vector baseType="lpstr" size="2">
      <vt:lpstr/>
      <vt:lpstr/>
    </vt:vector>
  </ap:TitlesOfParts>
  <ap:Company>CDT</ap:Company>
  <ap:LinksUpToDate>false</ap:LinksUpToDate>
  <ap:CharactersWithSpaces>10738</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18</revision>
  <dcterms:created xsi:type="dcterms:W3CDTF">2022-11-24T06:53:00.0000000Z</dcterms:created>
  <dcterms:modified xsi:type="dcterms:W3CDTF">2022-12-02T14:16:00.0000000Z</dcterms:modified>
</coreProperties>
</file>