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83"/>
        <w:ind w:left="8062"/>
      </w:pPr>
      <w:r>
        <w:rPr>
          <w:color w:val="231F20"/>
        </w:rPr>
        <w:t>Priloga 2</w:t>
      </w:r>
    </w:p>
    <w:p>
      <w:pPr>
        <w:pStyle w:val="BodyText"/>
        <w:rPr>
          <w:b/>
          <w:sz w:val="26"/>
        </w:rPr>
      </w:pPr>
    </w:p>
    <w:p>
      <w:pPr>
        <w:pStyle w:val="BodyText"/>
        <w:rPr>
          <w:b/>
          <w:sz w:val="26"/>
        </w:rPr>
      </w:pPr>
    </w:p>
    <w:p>
      <w:pPr>
        <w:spacing w:before="169"/>
        <w:ind w:left="142" w:right="113" w:hanging="1"/>
        <w:jc w:val="both"/>
        <w:rPr>
          <w:b/>
          <w:sz w:val="22"/>
        </w:rPr>
      </w:pPr>
      <w:r>
        <w:rPr>
          <w:b/>
          <w:color w:val="231F20"/>
          <w:sz w:val="22"/>
        </w:rPr>
        <w:t>NAVODILA ZA IZPOLNJEVANJE OBRACUNA DAVCNEGA ODTEGLJAJA OD DOBITKOV PRI KLASICNIH IGRAH NA SRECO</w:t>
      </w:r>
    </w:p>
    <w:p>
      <w:pPr>
        <w:pStyle w:val="BodyText"/>
        <w:rPr>
          <w:b/>
          <w:sz w:val="26"/>
        </w:rPr>
      </w:pPr>
    </w:p>
    <w:p>
      <w:pPr>
        <w:pStyle w:val="BodyText"/>
        <w:spacing w:before="217"/>
        <w:ind w:left="142" w:right="111"/>
        <w:jc w:val="both"/>
      </w:pPr>
      <w:r>
        <w:rPr>
          <w:color w:val="231F20"/>
        </w:rPr>
        <w:t>Obracun davcnega odtegljaja od dobitkov pri klasicnih igrah na sreco (v nadaljnjem besedilu: obrazec DODKIS) je predpisan na podlagi 10. clena Zakona o davku na dobitke pri klasicnih igrah na sreco – ZDDKIS (Uradni list RS, št. 24/2008). Prireditelj klasicne igre na sreco (placnik davka) mora predložiti obracun davcnega odtegljaja davcnemu organu, podatke o odtegnjenem davcnem odtegljaju ter druge podatke, ki vplivajo na višino davcnega odtegljaja pa mora ob izplacilu dobitka predložiti tudi davcnemu</w:t>
      </w:r>
      <w:r>
        <w:rPr>
          <w:color w:val="231F20"/>
          <w:spacing w:val="-8"/>
        </w:rPr>
        <w:t> </w:t>
      </w:r>
      <w:r>
        <w:rPr>
          <w:color w:val="231F20"/>
        </w:rPr>
        <w:t>zavezancu.</w:t>
      </w:r>
    </w:p>
    <w:p>
      <w:pPr>
        <w:pStyle w:val="BodyText"/>
        <w:spacing w:before="11"/>
        <w:rPr>
          <w:sz w:val="21"/>
        </w:rPr>
      </w:pPr>
    </w:p>
    <w:p>
      <w:pPr>
        <w:pStyle w:val="BodyText"/>
        <w:spacing w:before="1"/>
        <w:ind w:left="142"/>
        <w:jc w:val="both"/>
      </w:pPr>
      <w:r>
        <w:rPr>
          <w:color w:val="231F20"/>
        </w:rPr>
        <w:t>Obrazec DODKIS se izpolni in predloži najpozneje prvi delovni dan po izplacilu dobitka.</w:t>
      </w:r>
    </w:p>
    <w:p>
      <w:pPr>
        <w:pStyle w:val="BodyText"/>
      </w:pPr>
    </w:p>
    <w:p>
      <w:pPr>
        <w:pStyle w:val="BodyText"/>
        <w:ind w:left="142" w:right="110"/>
        <w:jc w:val="both"/>
      </w:pPr>
      <w:r>
        <w:rPr>
          <w:color w:val="231F20"/>
        </w:rPr>
        <w:t>Obrazec se izpolnjuje citljivo, z velikimi tiskanimi crkami. Zneski v obrazcu se vpisujejo v eurih s</w:t>
      </w:r>
      <w:r>
        <w:rPr>
          <w:color w:val="231F20"/>
          <w:spacing w:val="-2"/>
        </w:rPr>
        <w:t> </w:t>
      </w:r>
      <w:r>
        <w:rPr>
          <w:color w:val="231F20"/>
        </w:rPr>
        <w:t>centi.</w:t>
      </w:r>
    </w:p>
    <w:p>
      <w:pPr>
        <w:pStyle w:val="BodyText"/>
        <w:spacing w:before="11"/>
        <w:rPr>
          <w:sz w:val="21"/>
        </w:rPr>
      </w:pPr>
    </w:p>
    <w:p>
      <w:pPr>
        <w:pStyle w:val="BodyText"/>
        <w:ind w:left="142" w:right="110" w:hanging="1"/>
        <w:jc w:val="both"/>
      </w:pPr>
      <w:r>
        <w:rPr>
          <w:color w:val="231F20"/>
        </w:rPr>
        <w:t>Ce se posamezni dobitek izplacuje v vec delih (na primer vsak mesec) se podatki v obracunu davcnega odtegljaja izkazujejo posamicno – za vsako izplacilo dela dobitka posebej (ne kumulativno).</w:t>
      </w:r>
    </w:p>
    <w:p>
      <w:pPr>
        <w:pStyle w:val="BodyText"/>
        <w:spacing w:before="1"/>
      </w:pPr>
    </w:p>
    <w:p>
      <w:pPr>
        <w:pStyle w:val="BodyText"/>
        <w:ind w:left="142" w:right="110"/>
        <w:jc w:val="both"/>
      </w:pPr>
      <w:r>
        <w:rPr>
          <w:color w:val="231F20"/>
        </w:rPr>
        <w:t>Prireditelj placuje davcne odtegljaje v skladu s 4. clenom ZDDKIS neposredno na vplacilne podracune, ki so doloceni s pravilnikom, ki ureja podracune ter nacin placevanja obveznih dajatev in drugih javnofinancnih prihodkov.</w:t>
      </w:r>
    </w:p>
    <w:p>
      <w:pPr>
        <w:pStyle w:val="BodyText"/>
      </w:pPr>
    </w:p>
    <w:p>
      <w:pPr>
        <w:pStyle w:val="Heading1"/>
      </w:pPr>
      <w:r>
        <w:rPr>
          <w:color w:val="231F20"/>
        </w:rPr>
        <w:t>Opis podatkov</w:t>
      </w:r>
    </w:p>
    <w:p>
      <w:pPr>
        <w:pStyle w:val="BodyText"/>
        <w:spacing w:before="11"/>
        <w:rPr>
          <w:b/>
          <w:sz w:val="21"/>
        </w:rPr>
      </w:pPr>
    </w:p>
    <w:p>
      <w:pPr>
        <w:spacing w:before="0"/>
        <w:ind w:left="142" w:right="0" w:firstLine="0"/>
        <w:jc w:val="left"/>
        <w:rPr>
          <w:b/>
          <w:sz w:val="22"/>
        </w:rPr>
      </w:pPr>
      <w:r>
        <w:rPr>
          <w:b/>
          <w:color w:val="231F20"/>
          <w:sz w:val="22"/>
        </w:rPr>
        <w:t>Datum izplacila dobitka:</w:t>
      </w:r>
    </w:p>
    <w:p>
      <w:pPr>
        <w:pStyle w:val="BodyText"/>
        <w:spacing w:before="1"/>
        <w:rPr>
          <w:b/>
        </w:rPr>
      </w:pPr>
    </w:p>
    <w:p>
      <w:pPr>
        <w:pStyle w:val="BodyText"/>
        <w:ind w:left="142" w:right="111"/>
        <w:jc w:val="both"/>
      </w:pPr>
      <w:r>
        <w:rPr>
          <w:color w:val="231F20"/>
        </w:rPr>
        <w:t>Vpiše se datum izplacila dobitka v obliki DD.MM.LLLL. Šteje se, da je dobitek izplacan dobitniku takrat, ko mu je izplacan, izrocen oziroma kako drugace dan na razpolago.</w:t>
      </w:r>
    </w:p>
    <w:p>
      <w:pPr>
        <w:pStyle w:val="BodyText"/>
      </w:pPr>
    </w:p>
    <w:p>
      <w:pPr>
        <w:pStyle w:val="Heading1"/>
      </w:pPr>
      <w:r>
        <w:rPr>
          <w:color w:val="231F20"/>
        </w:rPr>
        <w:t>Podatki o placniku davka (prireditelju klasicne igre na sreco):</w:t>
      </w:r>
    </w:p>
    <w:p>
      <w:pPr>
        <w:pStyle w:val="BodyText"/>
        <w:spacing w:before="11"/>
        <w:rPr>
          <w:b/>
          <w:sz w:val="21"/>
        </w:rPr>
      </w:pPr>
    </w:p>
    <w:p>
      <w:pPr>
        <w:pStyle w:val="BodyText"/>
        <w:ind w:left="142" w:right="111"/>
        <w:jc w:val="both"/>
      </w:pPr>
      <w:r>
        <w:rPr>
          <w:color w:val="231F20"/>
        </w:rPr>
        <w:t>Vpišejo se naziv, naslov (ulica, hišna številka, kraj in poštna številka in naziv pošte) in davcna številka placnika davka oziroma osebe, ki se v skladu z 58. clenom Zakona o davcnem postopku - ZDavP-2 (Uradni list RS, št. 117/06) šteje za placnika davka.</w:t>
      </w:r>
    </w:p>
    <w:p>
      <w:pPr>
        <w:pStyle w:val="BodyText"/>
        <w:spacing w:before="1"/>
      </w:pPr>
    </w:p>
    <w:p>
      <w:pPr>
        <w:pStyle w:val="Heading1"/>
        <w:spacing w:before="1"/>
      </w:pPr>
      <w:r>
        <w:rPr>
          <w:color w:val="231F20"/>
        </w:rPr>
        <w:t>Podatki o dobitnikih in davcni obracun</w:t>
      </w:r>
    </w:p>
    <w:p>
      <w:pPr>
        <w:pStyle w:val="BodyText"/>
        <w:spacing w:before="11"/>
        <w:rPr>
          <w:b/>
          <w:sz w:val="21"/>
        </w:rPr>
      </w:pPr>
    </w:p>
    <w:p>
      <w:pPr>
        <w:spacing w:before="0"/>
        <w:ind w:left="142" w:right="0" w:firstLine="0"/>
        <w:jc w:val="left"/>
        <w:rPr>
          <w:b/>
          <w:sz w:val="22"/>
        </w:rPr>
      </w:pPr>
      <w:r>
        <w:rPr>
          <w:b/>
          <w:color w:val="231F20"/>
          <w:sz w:val="22"/>
        </w:rPr>
        <w:t>Zap. št. (stolpec 1):</w:t>
      </w:r>
    </w:p>
    <w:p>
      <w:pPr>
        <w:pStyle w:val="BodyText"/>
        <w:rPr>
          <w:b/>
        </w:rPr>
      </w:pPr>
    </w:p>
    <w:p>
      <w:pPr>
        <w:pStyle w:val="BodyText"/>
        <w:ind w:left="142" w:right="110"/>
        <w:jc w:val="both"/>
      </w:pPr>
      <w:r>
        <w:rPr>
          <w:color w:val="231F20"/>
        </w:rPr>
        <w:t>Vpiše se zaporedna številka. V primeru, da je na isti dan izplacano istemu dobitniku vec dobitkov, se vpiše isti dobitnik v toliko vrstic, kolikor je prejel na ta dan izplacanih dobitkov, od katerih se obracunava in placuje davcni odtegljaj.</w:t>
      </w:r>
    </w:p>
    <w:p>
      <w:pPr>
        <w:pStyle w:val="BodyText"/>
      </w:pPr>
    </w:p>
    <w:p>
      <w:pPr>
        <w:pStyle w:val="Heading1"/>
        <w:jc w:val="both"/>
      </w:pPr>
      <w:r>
        <w:rPr>
          <w:color w:val="231F20"/>
        </w:rPr>
        <w:t>Ime in priimek dobitnika (stolpec 2):</w:t>
      </w:r>
    </w:p>
    <w:p>
      <w:pPr>
        <w:pStyle w:val="BodyText"/>
        <w:spacing w:before="11"/>
        <w:rPr>
          <w:b/>
          <w:sz w:val="21"/>
        </w:rPr>
      </w:pPr>
    </w:p>
    <w:p>
      <w:pPr>
        <w:pStyle w:val="BodyText"/>
        <w:spacing w:before="1"/>
        <w:ind w:left="142"/>
        <w:jc w:val="both"/>
      </w:pPr>
      <w:r>
        <w:rPr>
          <w:color w:val="231F20"/>
        </w:rPr>
        <w:t>Vpiše se ime in priimek dobitnika.</w:t>
      </w:r>
    </w:p>
    <w:p>
      <w:pPr>
        <w:spacing w:after="0"/>
        <w:jc w:val="both"/>
        <w:sectPr>
          <w:type w:val="continuous"/>
          <w:pgSz w:w="11910" w:h="16840"/>
          <w:pgMar w:top="1480" w:bottom="280" w:left="1320" w:right="1260"/>
        </w:sectPr>
      </w:pPr>
    </w:p>
    <w:p>
      <w:pPr>
        <w:pStyle w:val="Heading1"/>
        <w:spacing w:before="83"/>
        <w:ind w:left="104"/>
      </w:pPr>
      <w:r>
        <w:rPr>
          <w:color w:val="231F20"/>
        </w:rPr>
        <w:t>Naslov dobitnika (stolpec 3):</w:t>
      </w:r>
    </w:p>
    <w:p>
      <w:pPr>
        <w:pStyle w:val="BodyText"/>
        <w:spacing w:before="11"/>
        <w:rPr>
          <w:b/>
          <w:sz w:val="21"/>
        </w:rPr>
      </w:pPr>
    </w:p>
    <w:p>
      <w:pPr>
        <w:pStyle w:val="BodyText"/>
        <w:ind w:left="104" w:right="146"/>
        <w:jc w:val="both"/>
      </w:pPr>
      <w:r>
        <w:rPr>
          <w:color w:val="231F20"/>
        </w:rPr>
        <w:t>Vpiše se naslov stalnega prebivališca (ulica, hišna številka, kraj in poštna številka in naziv pošte) dobitnika. V primeru, da dobitnik nima stalnega prebivališca v Republiki Sloveniji, se vpiše naslov zacasnega prebivališca v Republiki Sloveniji, ce pa dobitnik nima niti stalnega niti zacasnega prebivališca v Republiki Sloveniji pa se vpiše naslov stalnega bivališca, ki ga ima zavezanec v državi, katere rezident je. V slednjem primeru se pri naslovu vpiše tudi država</w:t>
      </w:r>
      <w:r>
        <w:rPr>
          <w:color w:val="231F20"/>
          <w:spacing w:val="-2"/>
        </w:rPr>
        <w:t> </w:t>
      </w:r>
      <w:r>
        <w:rPr>
          <w:color w:val="231F20"/>
        </w:rPr>
        <w:t>rezidentstva.</w:t>
      </w:r>
    </w:p>
    <w:p>
      <w:pPr>
        <w:pStyle w:val="BodyText"/>
      </w:pPr>
    </w:p>
    <w:p>
      <w:pPr>
        <w:pStyle w:val="Heading1"/>
        <w:ind w:left="104"/>
      </w:pPr>
      <w:r>
        <w:rPr>
          <w:color w:val="231F20"/>
        </w:rPr>
        <w:t>Davcna številka dobitnika (stolpec 4):</w:t>
      </w:r>
    </w:p>
    <w:p>
      <w:pPr>
        <w:pStyle w:val="BodyText"/>
        <w:rPr>
          <w:b/>
        </w:rPr>
      </w:pPr>
    </w:p>
    <w:p>
      <w:pPr>
        <w:pStyle w:val="BodyText"/>
        <w:spacing w:before="1"/>
        <w:ind w:left="104" w:right="142" w:hanging="1"/>
        <w:jc w:val="both"/>
      </w:pPr>
      <w:r>
        <w:rPr>
          <w:color w:val="231F20"/>
        </w:rPr>
        <w:t>Vpiše se davcna številka dobitnika. Ce je dobitek izplacan osebi, ki se šteje za nerezidenta v skladu z zakonom, ki ureja dohodnino in nima slovenske davcne številke, se v to polje ne vpiše slovenska davcna številka temvec njegova identifikacijska številka, ki jo uporablja za davcne namene v državi rezidentstva.</w:t>
      </w:r>
    </w:p>
    <w:p>
      <w:pPr>
        <w:pStyle w:val="BodyText"/>
        <w:spacing w:before="11"/>
        <w:rPr>
          <w:sz w:val="21"/>
        </w:rPr>
      </w:pPr>
    </w:p>
    <w:p>
      <w:pPr>
        <w:pStyle w:val="Heading1"/>
        <w:ind w:left="104"/>
        <w:jc w:val="both"/>
      </w:pPr>
      <w:r>
        <w:rPr>
          <w:color w:val="231F20"/>
        </w:rPr>
        <w:t>Vrsta dobitka (stolpec 5):</w:t>
      </w:r>
    </w:p>
    <w:p>
      <w:pPr>
        <w:pStyle w:val="BodyText"/>
        <w:rPr>
          <w:b/>
        </w:rPr>
      </w:pPr>
    </w:p>
    <w:p>
      <w:pPr>
        <w:pStyle w:val="BodyText"/>
        <w:spacing w:line="265" w:lineRule="exact" w:before="1"/>
        <w:ind w:left="104"/>
        <w:jc w:val="both"/>
      </w:pPr>
      <w:r>
        <w:rPr>
          <w:color w:val="231F20"/>
        </w:rPr>
        <w:t>Vpiše se oznaka za vrsto izplacanega dobitka, in sicer:</w:t>
      </w:r>
    </w:p>
    <w:p>
      <w:pPr>
        <w:pStyle w:val="ListParagraph"/>
        <w:numPr>
          <w:ilvl w:val="0"/>
          <w:numId w:val="1"/>
        </w:numPr>
        <w:tabs>
          <w:tab w:pos="824" w:val="left" w:leader="none"/>
          <w:tab w:pos="825" w:val="left" w:leader="none"/>
        </w:tabs>
        <w:spacing w:line="266" w:lineRule="exact" w:before="0" w:after="0"/>
        <w:ind w:left="824" w:right="0" w:hanging="360"/>
        <w:jc w:val="left"/>
        <w:rPr>
          <w:sz w:val="22"/>
        </w:rPr>
      </w:pPr>
      <w:r>
        <w:rPr>
          <w:color w:val="231F20"/>
          <w:sz w:val="22"/>
        </w:rPr>
        <w:t>oznaka A1 za denarni dobitek, ki je izplacan v</w:t>
      </w:r>
      <w:r>
        <w:rPr>
          <w:color w:val="231F20"/>
          <w:spacing w:val="-6"/>
          <w:sz w:val="22"/>
        </w:rPr>
        <w:t> </w:t>
      </w:r>
      <w:r>
        <w:rPr>
          <w:color w:val="231F20"/>
          <w:sz w:val="22"/>
        </w:rPr>
        <w:t>celoti,</w:t>
      </w:r>
    </w:p>
    <w:p>
      <w:pPr>
        <w:pStyle w:val="ListParagraph"/>
        <w:numPr>
          <w:ilvl w:val="0"/>
          <w:numId w:val="1"/>
        </w:numPr>
        <w:tabs>
          <w:tab w:pos="824" w:val="left" w:leader="none"/>
          <w:tab w:pos="825" w:val="left" w:leader="none"/>
        </w:tabs>
        <w:spacing w:line="266" w:lineRule="exact" w:before="0" w:after="0"/>
        <w:ind w:left="824" w:right="0" w:hanging="360"/>
        <w:jc w:val="left"/>
        <w:rPr>
          <w:sz w:val="22"/>
        </w:rPr>
      </w:pPr>
      <w:r>
        <w:rPr>
          <w:color w:val="231F20"/>
          <w:sz w:val="22"/>
        </w:rPr>
        <w:t>oznaka B1 za nedenarni dobitek, ki je izplacan v</w:t>
      </w:r>
      <w:r>
        <w:rPr>
          <w:color w:val="231F20"/>
          <w:spacing w:val="-7"/>
          <w:sz w:val="22"/>
        </w:rPr>
        <w:t> </w:t>
      </w:r>
      <w:r>
        <w:rPr>
          <w:color w:val="231F20"/>
          <w:sz w:val="22"/>
        </w:rPr>
        <w:t>celoti,</w:t>
      </w:r>
    </w:p>
    <w:p>
      <w:pPr>
        <w:pStyle w:val="ListParagraph"/>
        <w:numPr>
          <w:ilvl w:val="0"/>
          <w:numId w:val="1"/>
        </w:numPr>
        <w:tabs>
          <w:tab w:pos="824" w:val="left" w:leader="none"/>
          <w:tab w:pos="825" w:val="left" w:leader="none"/>
        </w:tabs>
        <w:spacing w:line="266" w:lineRule="exact" w:before="0" w:after="0"/>
        <w:ind w:left="824" w:right="0" w:hanging="360"/>
        <w:jc w:val="left"/>
        <w:rPr>
          <w:sz w:val="22"/>
        </w:rPr>
      </w:pPr>
      <w:r>
        <w:rPr>
          <w:color w:val="231F20"/>
          <w:sz w:val="22"/>
        </w:rPr>
        <w:t>oznaka A2 za denarni dobitek, ki je izplacan</w:t>
      </w:r>
      <w:r>
        <w:rPr>
          <w:color w:val="231F20"/>
          <w:spacing w:val="-4"/>
          <w:sz w:val="22"/>
        </w:rPr>
        <w:t> </w:t>
      </w:r>
      <w:r>
        <w:rPr>
          <w:color w:val="231F20"/>
          <w:sz w:val="22"/>
        </w:rPr>
        <w:t>delno,</w:t>
      </w:r>
    </w:p>
    <w:p>
      <w:pPr>
        <w:pStyle w:val="ListParagraph"/>
        <w:numPr>
          <w:ilvl w:val="0"/>
          <w:numId w:val="1"/>
        </w:numPr>
        <w:tabs>
          <w:tab w:pos="824" w:val="left" w:leader="none"/>
          <w:tab w:pos="825" w:val="left" w:leader="none"/>
        </w:tabs>
        <w:spacing w:line="265" w:lineRule="exact" w:before="0" w:after="0"/>
        <w:ind w:left="824" w:right="0" w:hanging="360"/>
        <w:jc w:val="left"/>
        <w:rPr>
          <w:sz w:val="22"/>
        </w:rPr>
      </w:pPr>
      <w:r>
        <w:rPr>
          <w:color w:val="231F20"/>
          <w:sz w:val="22"/>
        </w:rPr>
        <w:t>oznaka B2 za nedenarni dobitek, ki je izplacan</w:t>
      </w:r>
      <w:r>
        <w:rPr>
          <w:color w:val="231F20"/>
          <w:spacing w:val="-7"/>
          <w:sz w:val="22"/>
        </w:rPr>
        <w:t> </w:t>
      </w:r>
      <w:r>
        <w:rPr>
          <w:color w:val="231F20"/>
          <w:sz w:val="22"/>
        </w:rPr>
        <w:t>delno.</w:t>
      </w:r>
    </w:p>
    <w:p>
      <w:pPr>
        <w:pStyle w:val="BodyText"/>
        <w:ind w:left="104" w:right="80"/>
      </w:pPr>
      <w:r>
        <w:rPr>
          <w:color w:val="231F20"/>
        </w:rPr>
        <w:t>Za nedenarni dobitek se šteje vsak dobitek, ki ni izplacan v denarju, ampak je stvar, storitev ali pravica.</w:t>
      </w:r>
    </w:p>
    <w:p>
      <w:pPr>
        <w:pStyle w:val="BodyText"/>
        <w:spacing w:before="11"/>
        <w:rPr>
          <w:sz w:val="21"/>
        </w:rPr>
      </w:pPr>
    </w:p>
    <w:p>
      <w:pPr>
        <w:pStyle w:val="Heading1"/>
        <w:ind w:left="104"/>
      </w:pPr>
      <w:r>
        <w:rPr>
          <w:color w:val="231F20"/>
        </w:rPr>
        <w:t>Davcna osnova (stolpec 6):</w:t>
      </w:r>
    </w:p>
    <w:p>
      <w:pPr>
        <w:pStyle w:val="BodyText"/>
        <w:rPr>
          <w:b/>
        </w:rPr>
      </w:pPr>
    </w:p>
    <w:p>
      <w:pPr>
        <w:pStyle w:val="BodyText"/>
        <w:spacing w:before="1"/>
        <w:ind w:left="104" w:right="146"/>
        <w:jc w:val="both"/>
      </w:pPr>
      <w:r>
        <w:rPr>
          <w:color w:val="231F20"/>
        </w:rPr>
        <w:t>Vpiše se bruto vrednost izplacanega dobitka. V primeru, da gre za nedenarni dobitek, se vpiše njegova tržna vrednost, povecana s koeficientom davcnega odtegljaja, ki znaša 1,1765. Ce je dobitniku na isti dan izplacano vec dobitkov, se vpiše vrednost vsakega posameznega dobitka, od katerega se placuje davek na dobitke. Pod skupaj se vpiše skupni seštevek vseh dobitkov.</w:t>
      </w:r>
    </w:p>
    <w:p>
      <w:pPr>
        <w:pStyle w:val="BodyText"/>
        <w:spacing w:before="11"/>
        <w:rPr>
          <w:sz w:val="21"/>
        </w:rPr>
      </w:pPr>
    </w:p>
    <w:p>
      <w:pPr>
        <w:pStyle w:val="Heading1"/>
        <w:ind w:left="104"/>
      </w:pPr>
      <w:r>
        <w:rPr>
          <w:color w:val="231F20"/>
        </w:rPr>
        <w:t>Davcna stopnja (stolpec 7):</w:t>
      </w:r>
    </w:p>
    <w:p>
      <w:pPr>
        <w:pStyle w:val="BodyText"/>
        <w:rPr>
          <w:b/>
        </w:rPr>
      </w:pPr>
    </w:p>
    <w:p>
      <w:pPr>
        <w:pStyle w:val="BodyText"/>
        <w:ind w:left="104"/>
      </w:pPr>
      <w:r>
        <w:rPr>
          <w:color w:val="231F20"/>
        </w:rPr>
        <w:t>Davek na dobitke se obracuna in placa po stopnji 15 % od davcne osnove.</w:t>
      </w:r>
    </w:p>
    <w:p>
      <w:pPr>
        <w:pStyle w:val="BodyText"/>
        <w:spacing w:before="1"/>
      </w:pPr>
    </w:p>
    <w:p>
      <w:pPr>
        <w:pStyle w:val="Heading1"/>
        <w:ind w:left="104"/>
      </w:pPr>
      <w:r>
        <w:rPr>
          <w:color w:val="231F20"/>
        </w:rPr>
        <w:t>Znesek davka za placilo (stolpec 8):</w:t>
      </w:r>
    </w:p>
    <w:p>
      <w:pPr>
        <w:pStyle w:val="BodyText"/>
        <w:spacing w:before="11"/>
        <w:rPr>
          <w:b/>
          <w:sz w:val="21"/>
        </w:rPr>
      </w:pPr>
    </w:p>
    <w:p>
      <w:pPr>
        <w:pStyle w:val="BodyText"/>
        <w:ind w:left="104" w:right="149"/>
        <w:jc w:val="both"/>
      </w:pPr>
      <w:r>
        <w:rPr>
          <w:color w:val="231F20"/>
        </w:rPr>
        <w:t>Vpiše se znesek davka na dobitke, ki se izracuna tako, da se znesek davcne osnove iz stolpca 6 pomnoži z davcno stopnjo iz stolpca 7. Ce je dobitniku na isti dan izplacano vec dobitkov, se izracuna in vpiše znesek davka na dobitke od vsakega posameznega dobitka, od katerega se placuje davek na dobitke. Pod skupaj se vpiše skupni seštevek</w:t>
      </w:r>
      <w:r>
        <w:rPr>
          <w:color w:val="231F20"/>
          <w:spacing w:val="-10"/>
        </w:rPr>
        <w:t> </w:t>
      </w:r>
      <w:r>
        <w:rPr>
          <w:color w:val="231F20"/>
        </w:rPr>
        <w:t>davka.</w:t>
      </w:r>
    </w:p>
    <w:sectPr>
      <w:pgSz w:w="11910" w:h="16840"/>
      <w:pgMar w:top="148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EE"/>
    <w:family w:val="roman"/>
    <w:pitch w:val="variable"/>
  </w:font>
  <w:font w:name="Tahoma">
    <w:altName w:val="Tahoma"/>
    <w:charset w:val="EE"/>
    <w:family w:val="swiss"/>
    <w:pitch w:val="variable"/>
  </w:font>
  <w:font w:name="Arial">
    <w:altName w:val="Arial"/>
    <w:charset w:val="EE"/>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4" w:hanging="360"/>
      </w:pPr>
      <w:rPr>
        <w:rFonts w:hint="default" w:ascii="Arial" w:hAnsi="Arial" w:eastAsia="Arial" w:cs="Arial"/>
        <w:color w:val="231F20"/>
        <w:w w:val="99"/>
        <w:sz w:val="22"/>
        <w:szCs w:val="22"/>
      </w:rPr>
    </w:lvl>
    <w:lvl w:ilvl="1">
      <w:start w:val="0"/>
      <w:numFmt w:val="bullet"/>
      <w:lvlText w:val="•"/>
      <w:lvlJc w:val="left"/>
      <w:pPr>
        <w:ind w:left="1670" w:hanging="360"/>
      </w:pPr>
      <w:rPr>
        <w:rFonts w:hint="default"/>
      </w:rPr>
    </w:lvl>
    <w:lvl w:ilvl="2">
      <w:start w:val="0"/>
      <w:numFmt w:val="bullet"/>
      <w:lvlText w:val="•"/>
      <w:lvlJc w:val="left"/>
      <w:pPr>
        <w:ind w:left="2521" w:hanging="360"/>
      </w:pPr>
      <w:rPr>
        <w:rFonts w:hint="default"/>
      </w:rPr>
    </w:lvl>
    <w:lvl w:ilvl="3">
      <w:start w:val="0"/>
      <w:numFmt w:val="bullet"/>
      <w:lvlText w:val="•"/>
      <w:lvlJc w:val="left"/>
      <w:pPr>
        <w:ind w:left="3371" w:hanging="360"/>
      </w:pPr>
      <w:rPr>
        <w:rFonts w:hint="default"/>
      </w:rPr>
    </w:lvl>
    <w:lvl w:ilvl="4">
      <w:start w:val="0"/>
      <w:numFmt w:val="bullet"/>
      <w:lvlText w:val="•"/>
      <w:lvlJc w:val="left"/>
      <w:pPr>
        <w:ind w:left="4222" w:hanging="360"/>
      </w:pPr>
      <w:rPr>
        <w:rFonts w:hint="default"/>
      </w:rPr>
    </w:lvl>
    <w:lvl w:ilvl="5">
      <w:start w:val="0"/>
      <w:numFmt w:val="bullet"/>
      <w:lvlText w:val="•"/>
      <w:lvlJc w:val="left"/>
      <w:pPr>
        <w:ind w:left="5072" w:hanging="360"/>
      </w:pPr>
      <w:rPr>
        <w:rFonts w:hint="default"/>
      </w:rPr>
    </w:lvl>
    <w:lvl w:ilvl="6">
      <w:start w:val="0"/>
      <w:numFmt w:val="bullet"/>
      <w:lvlText w:val="•"/>
      <w:lvlJc w:val="left"/>
      <w:pPr>
        <w:ind w:left="5923" w:hanging="360"/>
      </w:pPr>
      <w:rPr>
        <w:rFonts w:hint="default"/>
      </w:rPr>
    </w:lvl>
    <w:lvl w:ilvl="7">
      <w:start w:val="0"/>
      <w:numFmt w:val="bullet"/>
      <w:lvlText w:val="•"/>
      <w:lvlJc w:val="left"/>
      <w:pPr>
        <w:ind w:left="6773" w:hanging="360"/>
      </w:pPr>
      <w:rPr>
        <w:rFonts w:hint="default"/>
      </w:rPr>
    </w:lvl>
    <w:lvl w:ilvl="8">
      <w:start w:val="0"/>
      <w:numFmt w:val="bullet"/>
      <w:lvlText w:val="•"/>
      <w:lvlJc w:val="left"/>
      <w:pPr>
        <w:ind w:left="76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2"/>
      <w:szCs w:val="22"/>
    </w:rPr>
  </w:style>
  <w:style w:styleId="Heading1" w:type="paragraph">
    <w:name w:val="Heading 1"/>
    <w:basedOn w:val="Normal"/>
    <w:uiPriority w:val="1"/>
    <w:qFormat/>
    <w:pPr>
      <w:ind w:left="142"/>
      <w:outlineLvl w:val="1"/>
    </w:pPr>
    <w:rPr>
      <w:rFonts w:ascii="Tahoma" w:hAnsi="Tahoma" w:eastAsia="Tahoma" w:cs="Tahoma"/>
      <w:b/>
      <w:bCs/>
      <w:sz w:val="22"/>
      <w:szCs w:val="22"/>
    </w:rPr>
  </w:style>
  <w:style w:styleId="ListParagraph" w:type="paragraph">
    <w:name w:val="List Paragraph"/>
    <w:basedOn w:val="Normal"/>
    <w:uiPriority w:val="1"/>
    <w:qFormat/>
    <w:pPr>
      <w:spacing w:line="266" w:lineRule="exact"/>
      <w:ind w:left="824" w:hanging="360"/>
    </w:pPr>
    <w:rPr>
      <w:rFonts w:ascii="Tahoma" w:hAnsi="Tahoma" w:eastAsia="Tahoma" w:cs="Tahoma"/>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2018-04-16T07:48:03Z</dcterms:created>
  <dcterms:modified xsi:type="dcterms:W3CDTF">2018-04-16T07:48:03Z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2008-07-07T00:00:00Z</vt:filetime>
  </property>
  <property fmtid="{D5CDD505-2E9C-101B-9397-08002B2CF9AE}" pid="3" name="Creator">
    <vt:lpwstr>Adobe InDesign CS2 (4.0.5)</vt:lpwstr>
  </property>
  <property fmtid="{D5CDD505-2E9C-101B-9397-08002B2CF9AE}" pid="4" name="LastSaved">
    <vt:filetime>2018-04-16T00:00:00Z</vt:filetime>
  </property>
</Properties>
</file>