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DA" w:rsidRPr="002F47DA" w:rsidRDefault="002F47DA" w:rsidP="002F47DA">
      <w:pPr>
        <w:jc w:val="both"/>
        <w:rPr>
          <w:b/>
          <w:bCs/>
          <w:szCs w:val="24"/>
          <w:lang w:eastAsia="en-US"/>
        </w:rPr>
      </w:pPr>
      <w:bookmarkStart w:id="0" w:name="_GoBack"/>
      <w:bookmarkEnd w:id="0"/>
      <w:r w:rsidRPr="002F47DA">
        <w:rPr>
          <w:b/>
          <w:szCs w:val="24"/>
          <w:lang w:eastAsia="en-US"/>
        </w:rPr>
        <w:t xml:space="preserve">NAVODILO ZA PREDLAGANJE </w:t>
      </w:r>
      <w:r w:rsidRPr="002F47DA">
        <w:rPr>
          <w:b/>
          <w:bCs/>
          <w:szCs w:val="24"/>
          <w:lang w:eastAsia="en-US"/>
        </w:rPr>
        <w:t xml:space="preserve">OBVESTILA O </w:t>
      </w:r>
      <w:r>
        <w:rPr>
          <w:b/>
          <w:bCs/>
          <w:szCs w:val="24"/>
          <w:lang w:eastAsia="en-US"/>
        </w:rPr>
        <w:t>SPREMEMBI STOPNJE AKONTACIJE DOHODNINE OD POKOJNINE OZ. POKLICNE POKOJNINE, KI JO IZPLAČUJE DELODAJALEC, KI NI GLAVNI DELODAJALEC</w:t>
      </w:r>
    </w:p>
    <w:p w:rsidR="002F47DA" w:rsidRPr="002F47DA" w:rsidRDefault="002F47DA" w:rsidP="002F47DA">
      <w:pPr>
        <w:jc w:val="both"/>
        <w:rPr>
          <w:bCs/>
          <w:szCs w:val="24"/>
          <w:lang w:eastAsia="en-US"/>
        </w:rPr>
      </w:pPr>
    </w:p>
    <w:p w:rsidR="002F47DA" w:rsidRDefault="002F47DA" w:rsidP="002F47DA">
      <w:pPr>
        <w:jc w:val="both"/>
      </w:pPr>
      <w:r w:rsidRPr="002F47DA">
        <w:rPr>
          <w:bCs/>
          <w:szCs w:val="24"/>
          <w:lang w:eastAsia="en-US"/>
        </w:rPr>
        <w:t>Po določbi</w:t>
      </w:r>
      <w:r>
        <w:rPr>
          <w:bCs/>
          <w:szCs w:val="24"/>
          <w:lang w:eastAsia="en-US"/>
        </w:rPr>
        <w:t xml:space="preserve"> šestnajstega</w:t>
      </w:r>
      <w:r w:rsidRPr="002F47DA">
        <w:rPr>
          <w:bCs/>
          <w:szCs w:val="24"/>
          <w:lang w:eastAsia="en-US"/>
        </w:rPr>
        <w:t xml:space="preserve"> odstavka 1</w:t>
      </w:r>
      <w:r>
        <w:rPr>
          <w:bCs/>
          <w:szCs w:val="24"/>
          <w:lang w:eastAsia="en-US"/>
        </w:rPr>
        <w:t>27</w:t>
      </w:r>
      <w:r w:rsidRPr="002F47DA">
        <w:rPr>
          <w:bCs/>
          <w:szCs w:val="24"/>
          <w:lang w:eastAsia="en-US"/>
        </w:rPr>
        <w:t xml:space="preserve">. člena </w:t>
      </w:r>
      <w:hyperlink r:id="rId7" w:history="1">
        <w:r w:rsidRPr="002F47DA">
          <w:rPr>
            <w:bCs/>
            <w:color w:val="0000FF"/>
            <w:szCs w:val="24"/>
            <w:u w:val="single"/>
            <w:lang w:eastAsia="en-US"/>
          </w:rPr>
          <w:t>Zakona o dohodnini</w:t>
        </w:r>
      </w:hyperlink>
      <w:r w:rsidRPr="002F47DA">
        <w:rPr>
          <w:bCs/>
          <w:szCs w:val="24"/>
          <w:lang w:eastAsia="en-US"/>
        </w:rPr>
        <w:t xml:space="preserve"> (ZDoh-2) se </w:t>
      </w:r>
      <w:r>
        <w:t xml:space="preserve">rezidentu </w:t>
      </w:r>
      <w:r>
        <w:rPr>
          <w:bCs/>
          <w:szCs w:val="24"/>
          <w:lang w:eastAsia="en-US"/>
        </w:rPr>
        <w:t>a</w:t>
      </w:r>
      <w:r>
        <w:t xml:space="preserve">kontacija dohodnine od dohodka, od katerega se prizna zmanjšanje dohodnine v skladu s tretjim in šestim odstavkom 112. člena tega zakona, ki ga </w:t>
      </w:r>
      <w:r w:rsidRPr="002F47DA">
        <w:rPr>
          <w:b/>
        </w:rPr>
        <w:t>izplačuje delodajalec, ki ni glavni delodajalec</w:t>
      </w:r>
      <w:r>
        <w:t xml:space="preserve">, lahko izračuna in plača po zvišani ali znižani stopnji oziroma se ne izračuna in ne plača, če se o tem odloči zavezanec sam. V tem primeru mora obvestiti davčni organ in izplačevalca dohodka, če oceni, da akontacija dohodnine ni ustrezna glede na pričakovano dohodnino na letni ravni. </w:t>
      </w:r>
    </w:p>
    <w:p w:rsidR="002F47DA" w:rsidRDefault="002F47DA" w:rsidP="002F47DA">
      <w:pPr>
        <w:jc w:val="both"/>
      </w:pPr>
    </w:p>
    <w:p w:rsidR="000F7FEF" w:rsidRDefault="00814031" w:rsidP="002F47DA">
      <w:pPr>
        <w:jc w:val="both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Z</w:t>
      </w:r>
      <w:r w:rsidR="000F7FEF">
        <w:rPr>
          <w:bCs/>
          <w:szCs w:val="24"/>
          <w:lang w:eastAsia="en-US"/>
        </w:rPr>
        <w:t xml:space="preserve">manjšanje dohodnine po tretjem in šestem odstavku 112. člena </w:t>
      </w:r>
      <w:r>
        <w:rPr>
          <w:bCs/>
          <w:szCs w:val="24"/>
          <w:lang w:eastAsia="en-US"/>
        </w:rPr>
        <w:t xml:space="preserve">(osebna olajšava) je </w:t>
      </w:r>
      <w:r w:rsidR="000F7FEF">
        <w:rPr>
          <w:bCs/>
          <w:szCs w:val="24"/>
          <w:lang w:eastAsia="en-US"/>
        </w:rPr>
        <w:t>namenjen</w:t>
      </w:r>
      <w:r>
        <w:rPr>
          <w:bCs/>
          <w:szCs w:val="24"/>
          <w:lang w:eastAsia="en-US"/>
        </w:rPr>
        <w:t>o</w:t>
      </w:r>
      <w:r w:rsidR="000F7FEF">
        <w:rPr>
          <w:bCs/>
          <w:szCs w:val="24"/>
          <w:lang w:eastAsia="en-US"/>
        </w:rPr>
        <w:t xml:space="preserve"> rezid</w:t>
      </w:r>
      <w:r>
        <w:rPr>
          <w:bCs/>
          <w:szCs w:val="24"/>
          <w:lang w:eastAsia="en-US"/>
        </w:rPr>
        <w:t>e</w:t>
      </w:r>
      <w:r w:rsidR="000F7FEF">
        <w:rPr>
          <w:bCs/>
          <w:szCs w:val="24"/>
          <w:lang w:eastAsia="en-US"/>
        </w:rPr>
        <w:t xml:space="preserve">ntu: </w:t>
      </w:r>
    </w:p>
    <w:p w:rsidR="002F47DA" w:rsidRDefault="000F7FEF" w:rsidP="000F7FEF">
      <w:pPr>
        <w:numPr>
          <w:ilvl w:val="0"/>
          <w:numId w:val="13"/>
        </w:numPr>
        <w:jc w:val="both"/>
        <w:rPr>
          <w:bCs/>
          <w:szCs w:val="24"/>
          <w:lang w:eastAsia="en-US"/>
        </w:rPr>
      </w:pPr>
      <w:r w:rsidRPr="000F7FEF">
        <w:rPr>
          <w:bCs/>
          <w:szCs w:val="24"/>
          <w:lang w:eastAsia="en-US"/>
        </w:rPr>
        <w:t>prejemnik</w:t>
      </w:r>
      <w:r w:rsidR="00814031">
        <w:rPr>
          <w:bCs/>
          <w:szCs w:val="24"/>
          <w:lang w:eastAsia="en-US"/>
        </w:rPr>
        <w:t>u</w:t>
      </w:r>
      <w:r w:rsidRPr="000F7FEF">
        <w:rPr>
          <w:bCs/>
          <w:szCs w:val="24"/>
          <w:lang w:eastAsia="en-US"/>
        </w:rPr>
        <w:t xml:space="preserve"> pokojnine iz obveznega pokojninskega in invalidskega zavarovanja, </w:t>
      </w:r>
      <w:r>
        <w:rPr>
          <w:bCs/>
          <w:szCs w:val="24"/>
          <w:lang w:eastAsia="en-US"/>
        </w:rPr>
        <w:t xml:space="preserve">kateremu </w:t>
      </w:r>
      <w:r w:rsidRPr="000F7FEF">
        <w:rPr>
          <w:bCs/>
          <w:szCs w:val="24"/>
          <w:lang w:eastAsia="en-US"/>
        </w:rPr>
        <w:t>se prizna zmanjšanje dohodnine v višini 13,5% odmerjene pokojnine iz obveznega pokojninskeg</w:t>
      </w:r>
      <w:r>
        <w:rPr>
          <w:bCs/>
          <w:szCs w:val="24"/>
          <w:lang w:eastAsia="en-US"/>
        </w:rPr>
        <w:t xml:space="preserve">a in invalidskega zavarovanja, </w:t>
      </w:r>
    </w:p>
    <w:p w:rsidR="000F7FEF" w:rsidRPr="000F7FEF" w:rsidRDefault="000F7FEF" w:rsidP="000F7FEF">
      <w:pPr>
        <w:numPr>
          <w:ilvl w:val="0"/>
          <w:numId w:val="13"/>
        </w:numPr>
        <w:jc w:val="both"/>
        <w:rPr>
          <w:bCs/>
          <w:szCs w:val="24"/>
          <w:lang w:eastAsia="en-US"/>
        </w:rPr>
      </w:pPr>
      <w:r w:rsidRPr="000F7FEF">
        <w:rPr>
          <w:bCs/>
          <w:szCs w:val="24"/>
          <w:lang w:eastAsia="en-US"/>
        </w:rPr>
        <w:t>prejemnik</w:t>
      </w:r>
      <w:r w:rsidR="00814031">
        <w:rPr>
          <w:bCs/>
          <w:szCs w:val="24"/>
          <w:lang w:eastAsia="en-US"/>
        </w:rPr>
        <w:t>u</w:t>
      </w:r>
      <w:r w:rsidRPr="000F7FEF">
        <w:rPr>
          <w:bCs/>
          <w:szCs w:val="24"/>
          <w:lang w:eastAsia="en-US"/>
        </w:rPr>
        <w:t xml:space="preserve"> poklicne pokojnine iz obveznega dodatnega pokojninskega zavarovanja, </w:t>
      </w:r>
      <w:r>
        <w:rPr>
          <w:bCs/>
          <w:szCs w:val="24"/>
          <w:lang w:eastAsia="en-US"/>
        </w:rPr>
        <w:t xml:space="preserve">kateremu </w:t>
      </w:r>
      <w:r w:rsidR="00814031">
        <w:rPr>
          <w:bCs/>
          <w:szCs w:val="24"/>
          <w:lang w:eastAsia="en-US"/>
        </w:rPr>
        <w:t>s</w:t>
      </w:r>
      <w:r w:rsidRPr="000F7FEF">
        <w:rPr>
          <w:bCs/>
          <w:szCs w:val="24"/>
          <w:lang w:eastAsia="en-US"/>
        </w:rPr>
        <w:t>e prizna zmanjšanje dohodnine v višini 13,5% odmerjene poklicne pokojnine iz obveznega dodatnega pokojninskega zavarovanja.</w:t>
      </w:r>
    </w:p>
    <w:p w:rsidR="00532110" w:rsidRDefault="00532110" w:rsidP="002F47DA">
      <w:pPr>
        <w:jc w:val="both"/>
        <w:rPr>
          <w:bCs/>
          <w:szCs w:val="24"/>
          <w:lang w:eastAsia="en-US"/>
        </w:rPr>
      </w:pPr>
    </w:p>
    <w:p w:rsidR="00784576" w:rsidRDefault="00532110" w:rsidP="002F47DA">
      <w:pPr>
        <w:jc w:val="both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Glavni delodajalec je delodajalec (izplačevalec dohodka), pri katerem zavezanec dosega pretežni del dohodka iz delovnega razmerja (kamor sodi tudi pokojnina). Po določbi šestega odstavka 127. člena ZDoh-2 se akontacija dohodnine od odhodka iz delovnega razmerja v primeru, ko izplačevalec dohodka ni glavni delodajalec, </w:t>
      </w:r>
      <w:r w:rsidR="00784576">
        <w:rPr>
          <w:bCs/>
          <w:szCs w:val="24"/>
          <w:lang w:eastAsia="en-US"/>
        </w:rPr>
        <w:t xml:space="preserve">izračuna po stopnji 25 % od davčne osnove.  Z uveljavitvijo šestnajstega odstavka 127. člena ZDoh-2 pa je za dohodke, navedene v tej določbi, ki jih izplačuje delodajalec, ki ni glavni,  določeno, da se akontacija dohodnine lahko izračuna: </w:t>
      </w:r>
    </w:p>
    <w:p w:rsidR="00784576" w:rsidRDefault="00784576" w:rsidP="00784576">
      <w:pPr>
        <w:numPr>
          <w:ilvl w:val="0"/>
          <w:numId w:val="13"/>
        </w:numPr>
        <w:jc w:val="both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po stopnji, ki je višja od 25 % (vendar največ do najvišje stopnje iz dohodninske lestvice)</w:t>
      </w:r>
      <w:r w:rsidR="00A336C2">
        <w:rPr>
          <w:bCs/>
          <w:szCs w:val="24"/>
          <w:lang w:eastAsia="en-US"/>
        </w:rPr>
        <w:t>,</w:t>
      </w:r>
    </w:p>
    <w:p w:rsidR="00B6354F" w:rsidRDefault="00784576" w:rsidP="00784576">
      <w:pPr>
        <w:numPr>
          <w:ilvl w:val="0"/>
          <w:numId w:val="13"/>
        </w:numPr>
        <w:jc w:val="both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po stopnji, ki je nižja od 25 %</w:t>
      </w:r>
      <w:r w:rsidR="00A336C2">
        <w:rPr>
          <w:bCs/>
          <w:szCs w:val="24"/>
          <w:lang w:eastAsia="en-US"/>
        </w:rPr>
        <w:t xml:space="preserve"> ali</w:t>
      </w:r>
    </w:p>
    <w:p w:rsidR="00784576" w:rsidRDefault="00784576" w:rsidP="00784576">
      <w:pPr>
        <w:numPr>
          <w:ilvl w:val="0"/>
          <w:numId w:val="13"/>
        </w:numPr>
        <w:jc w:val="both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se akontacija dohodnine ne izračuna in ne plača. </w:t>
      </w:r>
    </w:p>
    <w:p w:rsidR="00784576" w:rsidRDefault="00784576" w:rsidP="00784576">
      <w:pPr>
        <w:jc w:val="both"/>
        <w:rPr>
          <w:bCs/>
          <w:szCs w:val="24"/>
          <w:lang w:eastAsia="en-US"/>
        </w:rPr>
      </w:pPr>
    </w:p>
    <w:p w:rsidR="00397A5C" w:rsidRDefault="00784576" w:rsidP="002F47DA">
      <w:pPr>
        <w:jc w:val="both"/>
      </w:pPr>
      <w:r>
        <w:rPr>
          <w:bCs/>
          <w:szCs w:val="24"/>
          <w:lang w:eastAsia="en-US"/>
        </w:rPr>
        <w:t xml:space="preserve">O spremembi stopnje dohodnine oziroma o neplačilu akontacije dohodnine se </w:t>
      </w:r>
      <w:r w:rsidR="00397A5C">
        <w:rPr>
          <w:bCs/>
          <w:szCs w:val="24"/>
          <w:lang w:eastAsia="en-US"/>
        </w:rPr>
        <w:t xml:space="preserve">odloči zavezanec (rezident) sam. </w:t>
      </w:r>
      <w:r w:rsidR="00814031">
        <w:t>Glede obve</w:t>
      </w:r>
      <w:r w:rsidR="00B6354F">
        <w:t xml:space="preserve">ščanja davčnega organa in izplačevalca dohodka </w:t>
      </w:r>
      <w:r w:rsidR="00814031">
        <w:t xml:space="preserve">o spremembi stopnje akontacije dohodnine se smiselno upošteva določba 286. člena </w:t>
      </w:r>
      <w:hyperlink r:id="rId8" w:history="1">
        <w:r w:rsidR="00814031" w:rsidRPr="00814031">
          <w:rPr>
            <w:rStyle w:val="Hiperpovezava"/>
          </w:rPr>
          <w:t>Zakona o davčnem postopku</w:t>
        </w:r>
      </w:hyperlink>
      <w:r w:rsidR="00B6354F">
        <w:t xml:space="preserve"> (ZDavP-2)</w:t>
      </w:r>
      <w:r w:rsidR="00397A5C">
        <w:t xml:space="preserve">, in sicer: </w:t>
      </w:r>
    </w:p>
    <w:p w:rsidR="000F7FEF" w:rsidRDefault="00397A5C" w:rsidP="00397A5C">
      <w:pPr>
        <w:numPr>
          <w:ilvl w:val="0"/>
          <w:numId w:val="13"/>
        </w:numPr>
        <w:jc w:val="both"/>
      </w:pPr>
      <w:r>
        <w:t>s</w:t>
      </w:r>
      <w:r w:rsidR="00B6354F">
        <w:t xml:space="preserve">premenjena stopnja akontacije dohodnine se lahko </w:t>
      </w:r>
      <w:r w:rsidR="00B6354F" w:rsidRPr="00B6354F">
        <w:t xml:space="preserve">uporabi za </w:t>
      </w:r>
      <w:r w:rsidR="00B6354F">
        <w:t xml:space="preserve">navedene dohodke, </w:t>
      </w:r>
      <w:r w:rsidR="00B6354F" w:rsidRPr="00B6354F">
        <w:t xml:space="preserve">izplačane po dnevu, ko je bilo obvestilo </w:t>
      </w:r>
      <w:r>
        <w:t xml:space="preserve">predloženo davčnemu organu; </w:t>
      </w:r>
    </w:p>
    <w:p w:rsidR="00397A5C" w:rsidRDefault="00397A5C" w:rsidP="003F37AD">
      <w:pPr>
        <w:numPr>
          <w:ilvl w:val="0"/>
          <w:numId w:val="13"/>
        </w:numPr>
        <w:jc w:val="both"/>
      </w:pPr>
      <w:r>
        <w:t>d</w:t>
      </w:r>
      <w:r w:rsidRPr="00397A5C">
        <w:t xml:space="preserve">avčni organ davčnega zavezanca na podlagi njegovega obvestila označi kot davčnega zavezanca, ki se je odločil za </w:t>
      </w:r>
      <w:r w:rsidR="00A336C2">
        <w:t>spremenjeno</w:t>
      </w:r>
      <w:r w:rsidRPr="00397A5C">
        <w:t xml:space="preserve"> stopnjo akontacije dohodnine </w:t>
      </w:r>
      <w:r w:rsidR="00A336C2">
        <w:t xml:space="preserve">oz. se je odločil, da akontacije dohodnine ne plača, </w:t>
      </w:r>
      <w:r w:rsidRPr="00397A5C">
        <w:t>in o tem zavezancu izda potrd</w:t>
      </w:r>
      <w:r>
        <w:t>il</w:t>
      </w:r>
      <w:r w:rsidR="003F37AD">
        <w:t>o</w:t>
      </w:r>
      <w:r w:rsidR="003F37AD" w:rsidRPr="003F37AD">
        <w:t xml:space="preserve"> v petih dne</w:t>
      </w:r>
      <w:r w:rsidR="003F37AD">
        <w:t>h od dneva predložitve obvestilo</w:t>
      </w:r>
      <w:r>
        <w:t>;</w:t>
      </w:r>
    </w:p>
    <w:p w:rsidR="00397A5C" w:rsidRDefault="00397A5C" w:rsidP="00397A5C">
      <w:pPr>
        <w:numPr>
          <w:ilvl w:val="0"/>
          <w:numId w:val="13"/>
        </w:numPr>
        <w:jc w:val="both"/>
      </w:pPr>
      <w:r>
        <w:t xml:space="preserve">izplačevalec dohodka lahko izračuna, odtegne in plača akontacijo dohodnine po </w:t>
      </w:r>
      <w:r w:rsidR="00A336C2">
        <w:t xml:space="preserve">spremenjeni </w:t>
      </w:r>
      <w:r>
        <w:t xml:space="preserve">stopnji </w:t>
      </w:r>
      <w:r w:rsidR="00D25F88">
        <w:t xml:space="preserve">(oz. jo ne odtegne) </w:t>
      </w:r>
      <w:r>
        <w:t xml:space="preserve">samo, če davčni zavezanec predloži potrdilo davčnega organ; </w:t>
      </w:r>
    </w:p>
    <w:p w:rsidR="00397A5C" w:rsidRDefault="00397A5C" w:rsidP="00397A5C">
      <w:pPr>
        <w:numPr>
          <w:ilvl w:val="0"/>
          <w:numId w:val="13"/>
        </w:numPr>
        <w:jc w:val="both"/>
      </w:pPr>
      <w:r>
        <w:t>p</w:t>
      </w:r>
      <w:r w:rsidRPr="00397A5C">
        <w:t xml:space="preserve">otrdilo </w:t>
      </w:r>
      <w:r>
        <w:t>v</w:t>
      </w:r>
      <w:r w:rsidRPr="00397A5C">
        <w:t>elja za obdobje davčnega leta. V obdobju davčnega leta davčni zavezanec lahko zahteva spremembo potrdila, ali ga prekliče na način, kot velja za pridobitev potrdila.</w:t>
      </w:r>
    </w:p>
    <w:p w:rsidR="00397A5C" w:rsidRDefault="00397A5C" w:rsidP="002F47DA">
      <w:pPr>
        <w:jc w:val="both"/>
      </w:pPr>
    </w:p>
    <w:sectPr w:rsidR="00397A5C">
      <w:footnotePr>
        <w:numFmt w:val="chicago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FA" w:rsidRDefault="00CB17FA">
      <w:r>
        <w:separator/>
      </w:r>
    </w:p>
  </w:endnote>
  <w:endnote w:type="continuationSeparator" w:id="0">
    <w:p w:rsidR="00CB17FA" w:rsidRDefault="00C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FA" w:rsidRDefault="00CB17FA">
      <w:r>
        <w:separator/>
      </w:r>
    </w:p>
  </w:footnote>
  <w:footnote w:type="continuationSeparator" w:id="0">
    <w:p w:rsidR="00CB17FA" w:rsidRDefault="00CB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09"/>
    <w:multiLevelType w:val="hybridMultilevel"/>
    <w:tmpl w:val="9D44AD56"/>
    <w:lvl w:ilvl="0" w:tplc="1DEEBC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2CA"/>
    <w:multiLevelType w:val="hybridMultilevel"/>
    <w:tmpl w:val="4C2E0AC2"/>
    <w:lvl w:ilvl="0" w:tplc="D4DEDD0A">
      <w:start w:val="1"/>
      <w:numFmt w:val="bullet"/>
      <w:lvlText w:val=""/>
      <w:lvlJc w:val="left"/>
      <w:pPr>
        <w:tabs>
          <w:tab w:val="num" w:pos="720"/>
        </w:tabs>
        <w:ind w:left="680" w:firstLine="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680D"/>
    <w:multiLevelType w:val="multilevel"/>
    <w:tmpl w:val="5792E544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2F5"/>
    <w:multiLevelType w:val="hybridMultilevel"/>
    <w:tmpl w:val="5792E544"/>
    <w:lvl w:ilvl="0" w:tplc="DFE4B748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30B0"/>
    <w:multiLevelType w:val="hybridMultilevel"/>
    <w:tmpl w:val="23C2371A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FC5"/>
    <w:multiLevelType w:val="hybridMultilevel"/>
    <w:tmpl w:val="9CC8332E"/>
    <w:lvl w:ilvl="0" w:tplc="6DC21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490"/>
    <w:multiLevelType w:val="hybridMultilevel"/>
    <w:tmpl w:val="12B04548"/>
    <w:lvl w:ilvl="0" w:tplc="84B8E9D4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42178"/>
    <w:multiLevelType w:val="hybridMultilevel"/>
    <w:tmpl w:val="64B632E2"/>
    <w:lvl w:ilvl="0" w:tplc="AA308CF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699"/>
    <w:multiLevelType w:val="multilevel"/>
    <w:tmpl w:val="64B632E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5C37"/>
    <w:multiLevelType w:val="multilevel"/>
    <w:tmpl w:val="8DA8E646"/>
    <w:lvl w:ilvl="0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1F84"/>
    <w:multiLevelType w:val="hybridMultilevel"/>
    <w:tmpl w:val="8DA8E646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96F9C"/>
    <w:multiLevelType w:val="hybridMultilevel"/>
    <w:tmpl w:val="2AC2BB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7589"/>
    <w:multiLevelType w:val="multilevel"/>
    <w:tmpl w:val="2AC2B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C"/>
    <w:rsid w:val="00010A7D"/>
    <w:rsid w:val="00044180"/>
    <w:rsid w:val="000712B6"/>
    <w:rsid w:val="00074EFB"/>
    <w:rsid w:val="000F7FEF"/>
    <w:rsid w:val="00227F99"/>
    <w:rsid w:val="002512E5"/>
    <w:rsid w:val="002F47DA"/>
    <w:rsid w:val="00355AA1"/>
    <w:rsid w:val="00394ED3"/>
    <w:rsid w:val="00397A5C"/>
    <w:rsid w:val="003E0F8B"/>
    <w:rsid w:val="003F37AD"/>
    <w:rsid w:val="004022A1"/>
    <w:rsid w:val="004115DA"/>
    <w:rsid w:val="004B235E"/>
    <w:rsid w:val="004C15A8"/>
    <w:rsid w:val="004C5358"/>
    <w:rsid w:val="004F7A3E"/>
    <w:rsid w:val="00532110"/>
    <w:rsid w:val="005963B8"/>
    <w:rsid w:val="005B0B3E"/>
    <w:rsid w:val="005E6363"/>
    <w:rsid w:val="006A2B50"/>
    <w:rsid w:val="00710317"/>
    <w:rsid w:val="00770267"/>
    <w:rsid w:val="00784576"/>
    <w:rsid w:val="007C5114"/>
    <w:rsid w:val="00805895"/>
    <w:rsid w:val="00814031"/>
    <w:rsid w:val="008409A0"/>
    <w:rsid w:val="00871586"/>
    <w:rsid w:val="009B3BA0"/>
    <w:rsid w:val="00A159FF"/>
    <w:rsid w:val="00A31217"/>
    <w:rsid w:val="00A3266E"/>
    <w:rsid w:val="00A336C2"/>
    <w:rsid w:val="00A53043"/>
    <w:rsid w:val="00A54824"/>
    <w:rsid w:val="00AA163A"/>
    <w:rsid w:val="00AE76AA"/>
    <w:rsid w:val="00AF0B52"/>
    <w:rsid w:val="00B13575"/>
    <w:rsid w:val="00B6354F"/>
    <w:rsid w:val="00B86882"/>
    <w:rsid w:val="00B94D2A"/>
    <w:rsid w:val="00B9773F"/>
    <w:rsid w:val="00C13409"/>
    <w:rsid w:val="00C81ED0"/>
    <w:rsid w:val="00C87705"/>
    <w:rsid w:val="00CB17FA"/>
    <w:rsid w:val="00CE4A91"/>
    <w:rsid w:val="00CF24EC"/>
    <w:rsid w:val="00D25F88"/>
    <w:rsid w:val="00D67B11"/>
    <w:rsid w:val="00DA6FCA"/>
    <w:rsid w:val="00DF5404"/>
    <w:rsid w:val="00E3424C"/>
    <w:rsid w:val="00E35540"/>
    <w:rsid w:val="00E3612C"/>
    <w:rsid w:val="00EA57AC"/>
    <w:rsid w:val="00EF2C03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A69966-AD83-42B7-A06D-08793FE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A3E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4115DA"/>
    <w:rPr>
      <w:sz w:val="20"/>
    </w:rPr>
  </w:style>
  <w:style w:type="character" w:styleId="Sprotnaopomba-sklic">
    <w:name w:val="footnote reference"/>
    <w:semiHidden/>
    <w:rsid w:val="004115DA"/>
    <w:rPr>
      <w:vertAlign w:val="superscript"/>
    </w:rPr>
  </w:style>
  <w:style w:type="character" w:styleId="Hiperpovezava">
    <w:name w:val="Hyperlink"/>
    <w:rsid w:val="008140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4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GU</Company>
  <LinksUpToDate>false</LinksUpToDate>
  <CharactersWithSpaces>3226</CharactersWithSpaces>
  <SharedDoc>false</SharedDoc>
  <HLinks>
    <vt:vector size="12" baseType="variant"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http://www.pisrs.si/Pis.web/pregledPredpisa?id=ZAKO4697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DURS</dc:creator>
  <cp:keywords/>
  <cp:lastModifiedBy>Gorazd B</cp:lastModifiedBy>
  <cp:revision>2</cp:revision>
  <cp:lastPrinted>2015-01-19T07:31:00Z</cp:lastPrinted>
  <dcterms:created xsi:type="dcterms:W3CDTF">2022-03-22T07:03:00Z</dcterms:created>
  <dcterms:modified xsi:type="dcterms:W3CDTF">2022-03-22T07:03:00Z</dcterms:modified>
</cp:coreProperties>
</file>