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7" w:rsidRDefault="00F87A07" w:rsidP="00F87A07">
      <w:bookmarkStart w:id="0" w:name="_GoBack"/>
      <w:bookmarkEnd w:id="0"/>
      <w:r>
        <w:rPr>
          <w:b/>
          <w:bCs/>
          <w:sz w:val="22"/>
          <w:szCs w:val="22"/>
        </w:rPr>
        <w:t>PODATKI O DAVČNEM ZAVEZANCU:</w:t>
      </w:r>
    </w:p>
    <w:p w:rsidR="00F87A07" w:rsidRDefault="00F87A07" w:rsidP="00F87A07"/>
    <w:p w:rsidR="00F87A07" w:rsidRDefault="00F87A07" w:rsidP="00F87A07">
      <w:r>
        <w:t>______________________________</w:t>
      </w:r>
      <w:r w:rsidR="00A562D1">
        <w:tab/>
      </w:r>
      <w:r w:rsidR="00A562D1">
        <w:tab/>
      </w:r>
      <w:r w:rsidR="00A562D1">
        <w:tab/>
      </w:r>
      <w:r w:rsidR="00A562D1">
        <w:tab/>
      </w:r>
      <w:r w:rsidR="00A562D1" w:rsidRPr="00A562D1">
        <w:rPr>
          <w:vertAlign w:val="superscript"/>
        </w:rPr>
        <w:t>Davčna številka:</w:t>
      </w:r>
    </w:p>
    <w:tbl>
      <w:tblPr>
        <w:tblpPr w:leftFromText="141" w:rightFromText="141" w:vertAnchor="text" w:horzAnchor="page" w:tblpX="7359" w:tblpY="24"/>
        <w:tblW w:w="2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80"/>
      </w:tblGrid>
      <w:tr w:rsidR="00A562D1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Default="00A562D1" w:rsidP="00A562D1">
            <w:pPr>
              <w:pStyle w:val="Telobesedila"/>
            </w:pPr>
            <w:r>
              <w:t> </w:t>
            </w:r>
          </w:p>
        </w:tc>
      </w:tr>
    </w:tbl>
    <w:p w:rsidR="00F87A07" w:rsidRDefault="00A562D1" w:rsidP="00F87A07">
      <w:pPr>
        <w:rPr>
          <w:vertAlign w:val="superscript"/>
        </w:rPr>
      </w:pPr>
      <w:r>
        <w:rPr>
          <w:vertAlign w:val="superscript"/>
        </w:rPr>
        <w:t xml:space="preserve"> </w:t>
      </w:r>
      <w:r w:rsidR="00F87A07">
        <w:rPr>
          <w:vertAlign w:val="superscript"/>
        </w:rPr>
        <w:t xml:space="preserve">(ime in priimek davčnega zavezanca) </w:t>
      </w:r>
    </w:p>
    <w:p w:rsidR="00F87A07" w:rsidRDefault="00F87A07" w:rsidP="00F87A07">
      <w:r>
        <w:t>______________________________</w:t>
      </w:r>
    </w:p>
    <w:p w:rsidR="00F87A07" w:rsidRDefault="00F87A07" w:rsidP="00F87A07">
      <w:pPr>
        <w:rPr>
          <w:vertAlign w:val="superscript"/>
        </w:rPr>
      </w:pPr>
      <w:r>
        <w:rPr>
          <w:vertAlign w:val="superscript"/>
        </w:rPr>
        <w:t>(podatki o bivališču: naselje, ulica, hišna številka, pošta)</w:t>
      </w:r>
    </w:p>
    <w:p w:rsidR="00F87A07" w:rsidRDefault="00F87A07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F87A07" w:rsidRDefault="00F87A07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F87A07" w:rsidRDefault="00F87A07" w:rsidP="00F87A07">
      <w:r>
        <w:t>___________________________________</w:t>
      </w:r>
    </w:p>
    <w:p w:rsidR="00F87A07" w:rsidRDefault="00F87A07" w:rsidP="00F87A07">
      <w:pPr>
        <w:rPr>
          <w:vertAlign w:val="superscript"/>
        </w:rPr>
      </w:pPr>
      <w:r>
        <w:rPr>
          <w:vertAlign w:val="superscript"/>
        </w:rPr>
        <w:t>(naziv glavnega delodajalca oz. izplačevalca pokojnine oz.</w:t>
      </w:r>
    </w:p>
    <w:p w:rsidR="00F87A07" w:rsidRDefault="00F87A07" w:rsidP="00F87A07">
      <w:pPr>
        <w:rPr>
          <w:vertAlign w:val="superscript"/>
        </w:rPr>
      </w:pPr>
      <w:r>
        <w:rPr>
          <w:vertAlign w:val="superscript"/>
        </w:rPr>
        <w:t>izplačevalca drugega dohodka)</w:t>
      </w:r>
    </w:p>
    <w:p w:rsidR="00F87A07" w:rsidRDefault="00F87A07" w:rsidP="00F87A07">
      <w:r>
        <w:t>___________________________________</w:t>
      </w:r>
    </w:p>
    <w:p w:rsidR="00F87A07" w:rsidRDefault="00F87A07" w:rsidP="00F87A07">
      <w:pPr>
        <w:rPr>
          <w:vertAlign w:val="superscript"/>
        </w:rPr>
      </w:pPr>
      <w:r>
        <w:rPr>
          <w:vertAlign w:val="superscript"/>
        </w:rPr>
        <w:t>(naslov: naselje, ulica, hišna številka)</w:t>
      </w:r>
    </w:p>
    <w:p w:rsidR="00F87A07" w:rsidRDefault="00F87A07" w:rsidP="00F87A07">
      <w:r>
        <w:t>___________________________________</w:t>
      </w:r>
    </w:p>
    <w:p w:rsidR="00F87A07" w:rsidRDefault="00F87A07" w:rsidP="00F87A07">
      <w:r>
        <w:rPr>
          <w:vertAlign w:val="superscript"/>
        </w:rPr>
        <w:t>(poštna številka, ime pošte)</w:t>
      </w:r>
    </w:p>
    <w:p w:rsidR="00F87A07" w:rsidRDefault="00F87A07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F87A07" w:rsidRDefault="00F87A07" w:rsidP="00F87A07">
      <w:pPr>
        <w:jc w:val="center"/>
        <w:rPr>
          <w:b/>
          <w:bCs/>
        </w:rPr>
      </w:pPr>
      <w:r>
        <w:rPr>
          <w:b/>
          <w:bCs/>
        </w:rPr>
        <w:t>OBVESTILO</w:t>
      </w:r>
    </w:p>
    <w:p w:rsidR="00F87A07" w:rsidRDefault="00F87A07" w:rsidP="00F87A07">
      <w:pPr>
        <w:jc w:val="center"/>
        <w:rPr>
          <w:b/>
          <w:bCs/>
        </w:rPr>
      </w:pPr>
      <w:r>
        <w:rPr>
          <w:b/>
          <w:bCs/>
        </w:rPr>
        <w:t xml:space="preserve">O UVELJAVLJANJU OLAJŠAVE ZA VZDRŽEVANE DRUŽINSKE ČLANE PRI IZRAČUNU AKONTACIJE DOHODNINE </w:t>
      </w:r>
    </w:p>
    <w:p w:rsidR="00F87A07" w:rsidRDefault="00F87A07" w:rsidP="00F87A07">
      <w:pPr>
        <w:pStyle w:val="Glava"/>
        <w:tabs>
          <w:tab w:val="clear" w:pos="4153"/>
          <w:tab w:val="clear" w:pos="8306"/>
        </w:tabs>
      </w:pPr>
    </w:p>
    <w:p w:rsidR="00A562D1" w:rsidRDefault="00F87A07" w:rsidP="00A562D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UVELJAVLJAM OLAJŠAVO PRI IZRAČUNU AKONTACIJE DOHODNINE OD</w:t>
      </w:r>
      <w:r w:rsidR="00A562D1">
        <w:rPr>
          <w:b/>
          <w:bCs/>
          <w:sz w:val="20"/>
        </w:rPr>
        <w:t xml:space="preserve"> (ustrezno označiti)</w:t>
      </w:r>
      <w:r>
        <w:rPr>
          <w:b/>
          <w:bCs/>
          <w:sz w:val="20"/>
        </w:rPr>
        <w:t xml:space="preserve"> </w:t>
      </w:r>
    </w:p>
    <w:p w:rsidR="001102E0" w:rsidRDefault="001102E0" w:rsidP="00A562D1">
      <w:pPr>
        <w:jc w:val="both"/>
        <w:rPr>
          <w:b/>
          <w:bCs/>
          <w:sz w:val="20"/>
        </w:rPr>
      </w:pPr>
    </w:p>
    <w:p w:rsidR="00A562D1" w:rsidRDefault="00A24DF7" w:rsidP="00A562D1">
      <w:pPr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dohodka iz delovnega razmerja</w:t>
      </w:r>
    </w:p>
    <w:p w:rsidR="00A562D1" w:rsidRDefault="00A24DF7" w:rsidP="00A562D1">
      <w:pPr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pokojnine</w:t>
      </w:r>
      <w:r w:rsidR="00F87A07">
        <w:rPr>
          <w:b/>
          <w:bCs/>
          <w:sz w:val="20"/>
        </w:rPr>
        <w:t xml:space="preserve"> </w:t>
      </w:r>
    </w:p>
    <w:p w:rsidR="00A562D1" w:rsidRDefault="00A24DF7" w:rsidP="00A562D1">
      <w:pPr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drugega dohodka po 105. členu ZDoh-2, ki ga prejemam redno za mesečno obdobje</w:t>
      </w:r>
    </w:p>
    <w:p w:rsidR="001102E0" w:rsidRDefault="001102E0" w:rsidP="001102E0">
      <w:pPr>
        <w:jc w:val="both"/>
        <w:rPr>
          <w:b/>
          <w:bCs/>
          <w:sz w:val="20"/>
        </w:rPr>
      </w:pPr>
    </w:p>
    <w:p w:rsidR="00F87A07" w:rsidRDefault="00F87A07" w:rsidP="001102E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ZA NASLEDNJE VZDRŽEVANE DRUŽINSKE ČLANE:</w:t>
      </w:r>
    </w:p>
    <w:p w:rsidR="00F87A07" w:rsidRDefault="00F87A07" w:rsidP="00F87A07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3"/>
        <w:gridCol w:w="3305"/>
        <w:gridCol w:w="1275"/>
        <w:gridCol w:w="2268"/>
        <w:gridCol w:w="1418"/>
      </w:tblGrid>
      <w:tr w:rsidR="00F87A07">
        <w:trPr>
          <w:trHeight w:val="552"/>
        </w:trPr>
        <w:tc>
          <w:tcPr>
            <w:tcW w:w="593" w:type="dxa"/>
            <w:shd w:val="clear" w:color="auto" w:fill="E0E0E0"/>
            <w:vAlign w:val="center"/>
          </w:tcPr>
          <w:p w:rsidR="00F87A07" w:rsidRDefault="00F87A07" w:rsidP="000431C3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Zap</w:t>
            </w:r>
            <w:proofErr w:type="spellEnd"/>
            <w:r>
              <w:rPr>
                <w:b/>
                <w:bCs/>
                <w:sz w:val="22"/>
              </w:rPr>
              <w:t>. št.</w:t>
            </w:r>
          </w:p>
        </w:tc>
        <w:tc>
          <w:tcPr>
            <w:tcW w:w="3305" w:type="dxa"/>
            <w:shd w:val="clear" w:color="auto" w:fill="E0E0E0"/>
            <w:vAlign w:val="center"/>
          </w:tcPr>
          <w:p w:rsidR="00F87A07" w:rsidRDefault="00F87A07" w:rsidP="000431C3">
            <w:pPr>
              <w:pStyle w:val="Naslov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Ime in priimek</w:t>
            </w:r>
          </w:p>
        </w:tc>
        <w:tc>
          <w:tcPr>
            <w:tcW w:w="1275" w:type="dxa"/>
            <w:shd w:val="clear" w:color="auto" w:fill="E0E0E0"/>
          </w:tcPr>
          <w:p w:rsidR="00F87A07" w:rsidRDefault="00F87A07" w:rsidP="000431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Leto rojstva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87A07" w:rsidRDefault="00F87A07" w:rsidP="000431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Davčna številka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87A07" w:rsidRDefault="00F87A07" w:rsidP="000431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Sorodstveno razmerje</w:t>
            </w:r>
          </w:p>
        </w:tc>
      </w:tr>
      <w:tr w:rsidR="00F87A07">
        <w:tc>
          <w:tcPr>
            <w:tcW w:w="593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</w:tr>
      <w:tr w:rsidR="00F87A07">
        <w:tc>
          <w:tcPr>
            <w:tcW w:w="593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</w:tr>
      <w:tr w:rsidR="00F87A07">
        <w:tc>
          <w:tcPr>
            <w:tcW w:w="593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</w:tr>
      <w:tr w:rsidR="00F87A07">
        <w:tc>
          <w:tcPr>
            <w:tcW w:w="593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</w:tr>
      <w:tr w:rsidR="00F87A07">
        <w:tc>
          <w:tcPr>
            <w:tcW w:w="593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</w:tr>
      <w:tr w:rsidR="00F87A07">
        <w:tc>
          <w:tcPr>
            <w:tcW w:w="593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87A07" w:rsidRDefault="00F87A07" w:rsidP="000431C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7A07" w:rsidRDefault="00F87A07" w:rsidP="00F87A07">
      <w:pPr>
        <w:jc w:val="both"/>
        <w:rPr>
          <w:rFonts w:ascii="Arial" w:hAnsi="Arial" w:cs="Arial"/>
          <w:i/>
          <w:iCs/>
        </w:rPr>
      </w:pPr>
    </w:p>
    <w:p w:rsidR="00F87A07" w:rsidRDefault="00F87A07" w:rsidP="00F87A0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Sorodstveno razmerje: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>
        <w:rPr>
          <w:i/>
          <w:iCs/>
          <w:sz w:val="18"/>
        </w:rPr>
        <w:t xml:space="preserve"> – otrok do 18. leta starosti,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 w:rsidRPr="008F2BF4">
        <w:rPr>
          <w:bCs/>
          <w:i/>
          <w:iCs/>
          <w:sz w:val="18"/>
        </w:rPr>
        <w:t xml:space="preserve"> </w:t>
      </w:r>
      <w:r w:rsidRPr="008F2BF4">
        <w:rPr>
          <w:i/>
          <w:iCs/>
          <w:sz w:val="18"/>
        </w:rPr>
        <w:t xml:space="preserve">– </w:t>
      </w:r>
      <w:r>
        <w:rPr>
          <w:i/>
          <w:iCs/>
          <w:sz w:val="18"/>
        </w:rPr>
        <w:t>otrok od 18. do 26. leta starosti, ki nadaljuje šolanje na srednji, višji ali visoki stopnji,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zakonom o starševskem varstvu in družinskih prejemkih</w:t>
      </w:r>
      <w:r w:rsidR="000431C3">
        <w:rPr>
          <w:i/>
          <w:iCs/>
          <w:sz w:val="18"/>
        </w:rPr>
        <w:t xml:space="preserve"> ali pravico do</w:t>
      </w:r>
      <w:r>
        <w:rPr>
          <w:i/>
          <w:iCs/>
          <w:sz w:val="18"/>
        </w:rPr>
        <w:t>datka za pomoč in postrežbo v skladu z zakonom o pokojninskem in invalidskem zavarovanju;</w:t>
      </w:r>
    </w:p>
    <w:p w:rsidR="00441738" w:rsidRPr="00441738" w:rsidRDefault="00441738" w:rsidP="008F2BF4">
      <w:pPr>
        <w:ind w:left="993" w:hanging="426"/>
        <w:jc w:val="both"/>
        <w:rPr>
          <w:bCs/>
          <w:i/>
          <w:iCs/>
          <w:sz w:val="18"/>
        </w:rPr>
      </w:pPr>
      <w:r w:rsidRPr="00441738">
        <w:rPr>
          <w:b/>
          <w:bCs/>
          <w:i/>
          <w:iCs/>
          <w:sz w:val="18"/>
        </w:rPr>
        <w:t>B1</w:t>
      </w:r>
      <w:r w:rsidRPr="008F2BF4">
        <w:rPr>
          <w:bCs/>
          <w:i/>
          <w:iCs/>
          <w:sz w:val="18"/>
        </w:rPr>
        <w:t xml:space="preserve"> – </w:t>
      </w:r>
      <w:r w:rsidRPr="00441738">
        <w:rPr>
          <w:bCs/>
          <w:i/>
          <w:iCs/>
          <w:sz w:val="18"/>
        </w:rPr>
        <w:t>otrok, ki ima status invalida v skladu z zakonom o socialnem vključevanju invalidov, in nadaljuje šolanje na</w:t>
      </w:r>
      <w:r w:rsidR="007B1610">
        <w:rPr>
          <w:bCs/>
          <w:i/>
          <w:iCs/>
          <w:sz w:val="18"/>
        </w:rPr>
        <w:t xml:space="preserve">     s</w:t>
      </w:r>
      <w:r w:rsidRPr="00441738">
        <w:rPr>
          <w:bCs/>
          <w:i/>
          <w:iCs/>
          <w:sz w:val="18"/>
        </w:rPr>
        <w:t>rednji, višji ali visoki stopnji, ne glede na starost,</w:t>
      </w:r>
    </w:p>
    <w:p w:rsidR="00441738" w:rsidRPr="007B1610" w:rsidRDefault="00441738" w:rsidP="008F2BF4">
      <w:pPr>
        <w:ind w:left="993" w:hanging="426"/>
        <w:jc w:val="both"/>
        <w:rPr>
          <w:bCs/>
          <w:i/>
          <w:iCs/>
          <w:sz w:val="18"/>
        </w:rPr>
      </w:pPr>
      <w:r w:rsidRPr="00441738">
        <w:rPr>
          <w:b/>
          <w:bCs/>
          <w:i/>
          <w:iCs/>
          <w:sz w:val="18"/>
        </w:rPr>
        <w:t>B2</w:t>
      </w:r>
      <w:r w:rsidRPr="008F2BF4">
        <w:rPr>
          <w:bCs/>
          <w:i/>
          <w:iCs/>
          <w:sz w:val="18"/>
        </w:rPr>
        <w:t xml:space="preserve"> – </w:t>
      </w:r>
      <w:r w:rsidRPr="00441738">
        <w:rPr>
          <w:bCs/>
          <w:i/>
          <w:iCs/>
          <w:sz w:val="18"/>
        </w:rPr>
        <w:t xml:space="preserve">otrok, ki ima status invalida v skladu z zakonom o socialnem vključevanju invalidov, in se ne šola, ne glede na </w:t>
      </w:r>
      <w:r w:rsidR="007B1610">
        <w:rPr>
          <w:bCs/>
          <w:i/>
          <w:iCs/>
          <w:sz w:val="18"/>
        </w:rPr>
        <w:t>s</w:t>
      </w:r>
      <w:r w:rsidRPr="00441738">
        <w:rPr>
          <w:bCs/>
          <w:i/>
          <w:iCs/>
          <w:sz w:val="18"/>
        </w:rPr>
        <w:t>tarost,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C</w:t>
      </w:r>
      <w:r w:rsidRPr="008F2BF4">
        <w:rPr>
          <w:bCs/>
          <w:i/>
          <w:iCs/>
          <w:sz w:val="18"/>
        </w:rPr>
        <w:t xml:space="preserve"> </w:t>
      </w:r>
      <w:r w:rsidRPr="008F2BF4">
        <w:rPr>
          <w:i/>
          <w:iCs/>
          <w:sz w:val="18"/>
        </w:rPr>
        <w:t xml:space="preserve">– </w:t>
      </w:r>
      <w:r>
        <w:rPr>
          <w:i/>
          <w:iCs/>
          <w:sz w:val="18"/>
        </w:rPr>
        <w:t>zakonec ali zunajzakonski partner, ki ni zaposlen in ne opravlja dejavnosti,</w:t>
      </w:r>
    </w:p>
    <w:p w:rsidR="00A562D1" w:rsidRDefault="00A562D1" w:rsidP="008F2BF4">
      <w:pPr>
        <w:ind w:left="993" w:hanging="426"/>
        <w:jc w:val="both"/>
        <w:rPr>
          <w:i/>
          <w:iCs/>
          <w:sz w:val="18"/>
        </w:rPr>
      </w:pPr>
      <w:r>
        <w:rPr>
          <w:b/>
          <w:bCs/>
          <w:i/>
          <w:iCs/>
          <w:sz w:val="18"/>
        </w:rPr>
        <w:t>D</w:t>
      </w:r>
      <w:r w:rsidRPr="008F2BF4">
        <w:rPr>
          <w:bCs/>
          <w:i/>
          <w:iCs/>
          <w:sz w:val="18"/>
        </w:rPr>
        <w:t xml:space="preserve"> </w:t>
      </w:r>
      <w:r w:rsidRPr="008F2BF4">
        <w:rPr>
          <w:i/>
          <w:iCs/>
          <w:sz w:val="18"/>
        </w:rPr>
        <w:t xml:space="preserve">– </w:t>
      </w:r>
      <w:r>
        <w:rPr>
          <w:i/>
          <w:iCs/>
          <w:sz w:val="18"/>
        </w:rPr>
        <w:t>starši oziroma posvojitelji zavezanca.</w:t>
      </w:r>
    </w:p>
    <w:p w:rsidR="00F87A07" w:rsidRDefault="00F87A07" w:rsidP="00F87A07">
      <w:pPr>
        <w:jc w:val="both"/>
        <w:rPr>
          <w:rFonts w:ascii="Arial" w:hAnsi="Arial" w:cs="Arial"/>
        </w:rPr>
      </w:pPr>
    </w:p>
    <w:p w:rsidR="00F87A07" w:rsidRDefault="00F87A07" w:rsidP="00F87A07">
      <w:pPr>
        <w:pStyle w:val="Telobesedila"/>
      </w:pPr>
    </w:p>
    <w:p w:rsidR="00F87A07" w:rsidRDefault="00F87A07" w:rsidP="00F87A07">
      <w:pPr>
        <w:pStyle w:val="Telobesedila"/>
        <w:jc w:val="left"/>
        <w:rPr>
          <w:b w:val="0"/>
        </w:rPr>
      </w:pPr>
      <w:r>
        <w:rPr>
          <w:b w:val="0"/>
        </w:rPr>
        <w:t>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</w:t>
      </w:r>
    </w:p>
    <w:p w:rsidR="00F87A07" w:rsidRDefault="00F87A07" w:rsidP="00F87A07">
      <w:pPr>
        <w:pStyle w:val="Telobesedila"/>
        <w:jc w:val="left"/>
        <w:rPr>
          <w:rFonts w:ascii="Times New Roman" w:hAnsi="Times New Roman" w:cs="Times New Roman"/>
          <w:b w:val="0"/>
          <w:vertAlign w:val="superscript"/>
        </w:rPr>
      </w:pPr>
      <w:r>
        <w:rPr>
          <w:rFonts w:ascii="Times New Roman" w:hAnsi="Times New Roman" w:cs="Times New Roman"/>
          <w:b w:val="0"/>
          <w:vertAlign w:val="superscript"/>
        </w:rPr>
        <w:t xml:space="preserve">                            (kraj in datum)</w:t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  <w:t xml:space="preserve">                      (podpis zavezanca/</w:t>
      </w:r>
      <w:proofErr w:type="spellStart"/>
      <w:r>
        <w:rPr>
          <w:rFonts w:ascii="Times New Roman" w:hAnsi="Times New Roman" w:cs="Times New Roman"/>
          <w:b w:val="0"/>
          <w:vertAlign w:val="superscript"/>
        </w:rPr>
        <w:t>ke</w:t>
      </w:r>
      <w:proofErr w:type="spellEnd"/>
      <w:r>
        <w:rPr>
          <w:rFonts w:ascii="Times New Roman" w:hAnsi="Times New Roman" w:cs="Times New Roman"/>
          <w:b w:val="0"/>
          <w:vertAlign w:val="superscript"/>
        </w:rPr>
        <w:t>)</w:t>
      </w:r>
    </w:p>
    <w:p w:rsidR="00F87A07" w:rsidRDefault="00A562D1" w:rsidP="00F87A07">
      <w:pPr>
        <w:jc w:val="both"/>
        <w:rPr>
          <w:b/>
          <w:bCs/>
        </w:rPr>
      </w:pPr>
      <w:r>
        <w:rPr>
          <w:b/>
        </w:rPr>
        <w:br w:type="page"/>
      </w:r>
      <w:r w:rsidR="00F87A07">
        <w:rPr>
          <w:b/>
        </w:rPr>
        <w:lastRenderedPageBreak/>
        <w:t xml:space="preserve">NAVODILO ZA PREDLAGANJE </w:t>
      </w:r>
      <w:r w:rsidR="00F87A07">
        <w:rPr>
          <w:b/>
          <w:bCs/>
        </w:rPr>
        <w:t xml:space="preserve">OBVESTILA O UVELJAVLJANJU OLAJŠAVE ZA VZDRŽEVANE DRUŽINSKE ČLANE </w:t>
      </w:r>
    </w:p>
    <w:p w:rsidR="00F87A07" w:rsidRDefault="00F87A07" w:rsidP="00F87A07">
      <w:pPr>
        <w:pStyle w:val="Telobesedila"/>
        <w:rPr>
          <w:b w:val="0"/>
          <w:bCs w:val="0"/>
        </w:rPr>
      </w:pPr>
    </w:p>
    <w:p w:rsidR="00F87A07" w:rsidRDefault="00F87A07" w:rsidP="00F87A07">
      <w:pPr>
        <w:pStyle w:val="Telobesedila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Po določbi 1</w:t>
      </w:r>
      <w:r w:rsidR="000431C3">
        <w:rPr>
          <w:rFonts w:ascii="Times New Roman" w:hAnsi="Times New Roman" w:cs="Times New Roman"/>
          <w:b w:val="0"/>
        </w:rPr>
        <w:t>14</w:t>
      </w:r>
      <w:r>
        <w:rPr>
          <w:rFonts w:ascii="Times New Roman" w:hAnsi="Times New Roman" w:cs="Times New Roman"/>
          <w:b w:val="0"/>
        </w:rPr>
        <w:t xml:space="preserve">. člena </w:t>
      </w:r>
      <w:hyperlink r:id="rId7" w:history="1">
        <w:r w:rsidRPr="009D5006">
          <w:rPr>
            <w:rStyle w:val="Hiperpovezava"/>
            <w:rFonts w:ascii="Times New Roman" w:hAnsi="Times New Roman" w:cs="Times New Roman"/>
            <w:b w:val="0"/>
          </w:rPr>
          <w:t>Zakona o dohodnini</w:t>
        </w:r>
      </w:hyperlink>
      <w:r>
        <w:rPr>
          <w:rFonts w:ascii="Times New Roman" w:hAnsi="Times New Roman" w:cs="Times New Roman"/>
          <w:b w:val="0"/>
        </w:rPr>
        <w:t xml:space="preserve"> </w:t>
      </w:r>
      <w:r w:rsidR="00137369">
        <w:rPr>
          <w:rFonts w:ascii="Times New Roman" w:hAnsi="Times New Roman" w:cs="Times New Roman"/>
          <w:b w:val="0"/>
        </w:rPr>
        <w:t xml:space="preserve">(ZDoh-2) </w:t>
      </w:r>
      <w:r>
        <w:rPr>
          <w:rFonts w:ascii="Times New Roman" w:hAnsi="Times New Roman" w:cs="Times New Roman"/>
          <w:b w:val="0"/>
        </w:rPr>
        <w:t xml:space="preserve">se </w:t>
      </w:r>
      <w:r>
        <w:rPr>
          <w:rFonts w:ascii="Times New Roman" w:hAnsi="Times New Roman" w:cs="Times New Roman"/>
        </w:rPr>
        <w:t>rezidentom, ki vzdržujejo družinske člane</w:t>
      </w:r>
      <w:r>
        <w:rPr>
          <w:rFonts w:ascii="Times New Roman" w:hAnsi="Times New Roman" w:cs="Times New Roman"/>
          <w:b w:val="0"/>
        </w:rPr>
        <w:t>, prizna zmanjšanje letne davčne osnove. Po določbi tretjega odstavka 12</w:t>
      </w:r>
      <w:r w:rsidR="000431C3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 xml:space="preserve">. člena </w:t>
      </w:r>
      <w:r w:rsidR="00032E91">
        <w:rPr>
          <w:rFonts w:ascii="Times New Roman" w:hAnsi="Times New Roman" w:cs="Times New Roman"/>
          <w:b w:val="0"/>
        </w:rPr>
        <w:t>ZDoh-2</w:t>
      </w:r>
      <w:r>
        <w:rPr>
          <w:rFonts w:ascii="Times New Roman" w:hAnsi="Times New Roman" w:cs="Times New Roman"/>
          <w:b w:val="0"/>
        </w:rPr>
        <w:t xml:space="preserve"> se pri izračunu akontacije dohodnine od dohodka iz delovnega razmerja, doseženega pri glavnem delodajalcu, upošteva tudi 1/12 zneska posebne olajšave za vzdrževane družinske člane.</w:t>
      </w:r>
      <w:r w:rsidR="000431C3">
        <w:rPr>
          <w:rFonts w:ascii="Times New Roman" w:hAnsi="Times New Roman" w:cs="Times New Roman"/>
          <w:b w:val="0"/>
        </w:rPr>
        <w:t xml:space="preserve"> Na način iz prejšnjega stavka se olajšava za vzdrževane družinske člane upošteva tudi pri izračunu akontacije dohodnine od drugega dohodka</w:t>
      </w:r>
      <w:r w:rsidR="00032E91">
        <w:rPr>
          <w:rFonts w:ascii="Times New Roman" w:hAnsi="Times New Roman" w:cs="Times New Roman"/>
          <w:b w:val="0"/>
        </w:rPr>
        <w:t xml:space="preserve"> 105. členu ZDoh-2</w:t>
      </w:r>
      <w:r w:rsidR="000431C3">
        <w:rPr>
          <w:rFonts w:ascii="Times New Roman" w:hAnsi="Times New Roman" w:cs="Times New Roman"/>
          <w:b w:val="0"/>
        </w:rPr>
        <w:t>, ki se prejema redno za mesečno obdobje</w:t>
      </w:r>
      <w:r w:rsidR="00FE257F">
        <w:rPr>
          <w:rFonts w:ascii="Times New Roman" w:hAnsi="Times New Roman" w:cs="Times New Roman"/>
          <w:b w:val="0"/>
        </w:rPr>
        <w:t xml:space="preserve"> (v nadaljevanju: drugi dohodek)</w:t>
      </w:r>
      <w:r w:rsidR="000431C3">
        <w:rPr>
          <w:rFonts w:ascii="Times New Roman" w:hAnsi="Times New Roman" w:cs="Times New Roman"/>
          <w:b w:val="0"/>
        </w:rPr>
        <w:t xml:space="preserve">, če se zavezanec odloči za izračun akontacije dohodnine v skladu z drugim odstavkom 131. člena </w:t>
      </w:r>
      <w:r w:rsidR="004272A7">
        <w:rPr>
          <w:rFonts w:ascii="Times New Roman" w:hAnsi="Times New Roman" w:cs="Times New Roman"/>
          <w:b w:val="0"/>
        </w:rPr>
        <w:t>ZDoh-2</w:t>
      </w:r>
      <w:r w:rsidR="000431C3">
        <w:rPr>
          <w:rFonts w:ascii="Times New Roman" w:hAnsi="Times New Roman" w:cs="Times New Roman"/>
          <w:b w:val="0"/>
        </w:rPr>
        <w:t xml:space="preserve">, o čemer mora obvestiti </w:t>
      </w:r>
      <w:r w:rsidR="008D0909">
        <w:rPr>
          <w:rFonts w:ascii="Times New Roman" w:hAnsi="Times New Roman" w:cs="Times New Roman"/>
          <w:b w:val="0"/>
        </w:rPr>
        <w:t>davčni</w:t>
      </w:r>
      <w:r w:rsidR="000431C3">
        <w:rPr>
          <w:rFonts w:ascii="Times New Roman" w:hAnsi="Times New Roman" w:cs="Times New Roman"/>
          <w:b w:val="0"/>
        </w:rPr>
        <w:t xml:space="preserve"> organ in izplačevalca dohodka.</w:t>
      </w:r>
    </w:p>
    <w:p w:rsidR="00F87A07" w:rsidRDefault="00F87A07" w:rsidP="00F87A07">
      <w:pPr>
        <w:pStyle w:val="Telobesedila"/>
      </w:pPr>
    </w:p>
    <w:p w:rsidR="00F87A07" w:rsidRDefault="00F87A07" w:rsidP="00F87A07">
      <w:pPr>
        <w:jc w:val="both"/>
      </w:pPr>
      <w:r>
        <w:t>Po določbi prvega odstavka 2</w:t>
      </w:r>
      <w:r w:rsidR="000431C3">
        <w:t>87</w:t>
      </w:r>
      <w:r>
        <w:t xml:space="preserve">. člena </w:t>
      </w:r>
      <w:hyperlink r:id="rId8" w:history="1">
        <w:r w:rsidRPr="009D5006">
          <w:rPr>
            <w:rStyle w:val="Hiperpovezava"/>
          </w:rPr>
          <w:t>Zakona o davčnem postopku</w:t>
        </w:r>
      </w:hyperlink>
      <w:r>
        <w:t xml:space="preserve"> </w:t>
      </w:r>
      <w:r w:rsidR="00137369">
        <w:t xml:space="preserve">(ZDavP-2) </w:t>
      </w:r>
      <w:r>
        <w:t>mora davčni zavezanec, ki v skladu z zakonom, ki ureja dohodnino</w:t>
      </w:r>
      <w:r w:rsidR="00982D39">
        <w:t>,</w:t>
      </w:r>
      <w:r>
        <w:t xml:space="preserve"> uveljavlja olajšav</w:t>
      </w:r>
      <w:r w:rsidR="000431C3">
        <w:t>o</w:t>
      </w:r>
      <w:r>
        <w:t xml:space="preserve"> za vzdrževane družinske člane pri izračunu akontacije dohodnine od dohodka iz delovnega razmerja in od pokojnine, ki se izplačuje za mesečno obdobje, o tem </w:t>
      </w:r>
      <w:r>
        <w:rPr>
          <w:b/>
        </w:rPr>
        <w:t>obvestiti glavnega delodajalca</w:t>
      </w:r>
      <w:r>
        <w:t xml:space="preserve"> in </w:t>
      </w:r>
      <w:r>
        <w:rPr>
          <w:b/>
        </w:rPr>
        <w:t>izplačevalca pokojnine</w:t>
      </w:r>
      <w:r>
        <w:t xml:space="preserve">. </w:t>
      </w:r>
      <w:r w:rsidR="000431C3">
        <w:t>Davčni zavezanec, ki v skladu z zakonom, ki ureja dohodnino</w:t>
      </w:r>
      <w:r w:rsidR="00517F20">
        <w:t>,</w:t>
      </w:r>
      <w:r w:rsidR="000431C3">
        <w:t xml:space="preserve"> olajšavo za vzdrževane družinske člane uveljavlja pri izračunu akontacije dohodnine od drugega dohodka, mora o tem </w:t>
      </w:r>
      <w:r w:rsidR="000431C3" w:rsidRPr="000431C3">
        <w:rPr>
          <w:b/>
        </w:rPr>
        <w:t>obvestiti izplačevalca drugega dohodka</w:t>
      </w:r>
      <w:r w:rsidR="000431C3">
        <w:t>.</w:t>
      </w:r>
    </w:p>
    <w:p w:rsidR="00F87A07" w:rsidRDefault="00F87A07" w:rsidP="00F87A07">
      <w:pPr>
        <w:jc w:val="both"/>
      </w:pPr>
    </w:p>
    <w:p w:rsidR="00F87A07" w:rsidRDefault="00F87A07" w:rsidP="00F87A07">
      <w:pPr>
        <w:jc w:val="both"/>
      </w:pPr>
      <w:r>
        <w:t xml:space="preserve">Olajšava za vzdrževane družinske člane se lahko upošteva pri izračunu akontacije dohodnine od dohodkov iz delovnega razmerja </w:t>
      </w:r>
      <w:r w:rsidR="007759DE">
        <w:t xml:space="preserve">in </w:t>
      </w:r>
      <w:r>
        <w:t>od pokojnine, ki se izplačuje za mesečno obdobje</w:t>
      </w:r>
      <w:r w:rsidR="00137369">
        <w:t>,</w:t>
      </w:r>
      <w:r w:rsidR="00FE257F">
        <w:t xml:space="preserve"> ter od drugega dohodka</w:t>
      </w:r>
      <w:r>
        <w:t xml:space="preserve">, ki so </w:t>
      </w:r>
      <w:r>
        <w:rPr>
          <w:b/>
        </w:rPr>
        <w:t>izplačani po dnevu, ko je bilo obvestilo predloženo</w:t>
      </w:r>
      <w:r>
        <w:t xml:space="preserve"> glavnemu delodajalcu</w:t>
      </w:r>
      <w:r w:rsidR="00FE257F">
        <w:t>,</w:t>
      </w:r>
      <w:r>
        <w:t xml:space="preserve"> izplačevalcu pokojnine</w:t>
      </w:r>
      <w:r w:rsidR="00FE257F">
        <w:t xml:space="preserve"> oziroma izplačevalcu drugega dohodka</w:t>
      </w:r>
      <w:r>
        <w:t>.</w:t>
      </w:r>
    </w:p>
    <w:p w:rsidR="00F87A07" w:rsidRDefault="00F87A07" w:rsidP="00F87A07">
      <w:pPr>
        <w:jc w:val="both"/>
      </w:pPr>
    </w:p>
    <w:p w:rsidR="00F87A07" w:rsidRDefault="00F87A07" w:rsidP="00F87A07">
      <w:pPr>
        <w:jc w:val="both"/>
      </w:pPr>
      <w:r>
        <w:t>Glavni delodajalec</w:t>
      </w:r>
      <w:r w:rsidR="00137369">
        <w:t xml:space="preserve"> oziroma </w:t>
      </w:r>
      <w:r>
        <w:t>izplačevalec pokojnine</w:t>
      </w:r>
      <w:r w:rsidR="00FE257F">
        <w:t xml:space="preserve"> in izplačevalec drugega dohodka</w:t>
      </w:r>
      <w:r>
        <w:t xml:space="preserve"> pri izračunu akontacije dohodnine upošteva </w:t>
      </w:r>
      <w:r w:rsidR="00FE257F">
        <w:t xml:space="preserve">olajšavo </w:t>
      </w:r>
      <w:r>
        <w:t>za vzdrževane člane na podlagi tega obvestila</w:t>
      </w:r>
      <w:r w:rsidR="00FE257F">
        <w:t>,</w:t>
      </w:r>
      <w:r>
        <w:t xml:space="preserve"> </w:t>
      </w:r>
      <w:r>
        <w:rPr>
          <w:b/>
        </w:rPr>
        <w:t>dokler davčni zavezanec ne predloži novega obvestila</w:t>
      </w:r>
      <w:r>
        <w:t>, s katerim sporoči spremembe (četrti odstavek 2</w:t>
      </w:r>
      <w:r w:rsidR="00FE257F">
        <w:t>87</w:t>
      </w:r>
      <w:r>
        <w:t xml:space="preserve">. člena </w:t>
      </w:r>
      <w:r w:rsidR="00E77D67">
        <w:t>ZDavP-2</w:t>
      </w:r>
      <w:r>
        <w:t>).</w:t>
      </w:r>
    </w:p>
    <w:p w:rsidR="00F87A07" w:rsidRDefault="00F87A07" w:rsidP="00F87A07">
      <w:pPr>
        <w:jc w:val="both"/>
        <w:rPr>
          <w:rFonts w:ascii="Arial" w:hAnsi="Arial" w:cs="Arial"/>
        </w:rPr>
      </w:pPr>
    </w:p>
    <w:p w:rsidR="00E77D67" w:rsidRDefault="00E77D67" w:rsidP="00F87A07">
      <w:pPr>
        <w:jc w:val="both"/>
      </w:pPr>
      <w:r>
        <w:t>V tabeli davčni zavezanec ustrezno označi vzdrževanega družinskega člana, za katerega uveljavlja olajšavo.</w:t>
      </w:r>
    </w:p>
    <w:p w:rsidR="006932F4" w:rsidRDefault="006932F4" w:rsidP="00F87A07">
      <w:pPr>
        <w:jc w:val="both"/>
      </w:pPr>
    </w:p>
    <w:p w:rsidR="006932F4" w:rsidRDefault="006932F4" w:rsidP="00F87A07">
      <w:pPr>
        <w:jc w:val="both"/>
      </w:pPr>
      <w:r>
        <w:t xml:space="preserve">Glede na določbe prvega odstavka 337. člena </w:t>
      </w:r>
      <w:r w:rsidR="009D5006">
        <w:t xml:space="preserve">ZDavP-2 </w:t>
      </w:r>
      <w:r>
        <w:t>se podatki o uveljavljanih vzdrževanih članih uporabi</w:t>
      </w:r>
      <w:r w:rsidR="00982D39">
        <w:t>jo</w:t>
      </w:r>
      <w:r>
        <w:t xml:space="preserve"> tudi za informativni izračun dohodnine, ki ga </w:t>
      </w:r>
      <w:r w:rsidR="00E449D5">
        <w:t xml:space="preserve">v skladu z določbo 267. člena ZDavP-2 </w:t>
      </w:r>
      <w:r>
        <w:t>za davčnega zavezanca sestavi davčni organ.</w:t>
      </w:r>
    </w:p>
    <w:p w:rsidR="00F87A07" w:rsidRDefault="00F87A07" w:rsidP="00F87A07">
      <w:pPr>
        <w:pStyle w:val="Telobesedila"/>
        <w:rPr>
          <w:vertAlign w:val="superscript"/>
        </w:rPr>
      </w:pPr>
    </w:p>
    <w:p w:rsidR="00F87A07" w:rsidRDefault="00F87A07" w:rsidP="00F87A07"/>
    <w:p w:rsidR="00F87A07" w:rsidRDefault="00F87A07" w:rsidP="00F87A07"/>
    <w:p w:rsidR="00A11780" w:rsidRDefault="00A11780"/>
    <w:sectPr w:rsidR="00A11780" w:rsidSect="00043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CE" w:rsidRDefault="007A47CE">
      <w:r>
        <w:separator/>
      </w:r>
    </w:p>
  </w:endnote>
  <w:endnote w:type="continuationSeparator" w:id="0">
    <w:p w:rsidR="007A47CE" w:rsidRDefault="007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Pr="00342C3F" w:rsidRDefault="007B1610" w:rsidP="00342C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CE" w:rsidRDefault="007A47CE">
      <w:r>
        <w:separator/>
      </w:r>
    </w:p>
  </w:footnote>
  <w:footnote w:type="continuationSeparator" w:id="0">
    <w:p w:rsidR="007A47CE" w:rsidRDefault="007A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3C73"/>
    <w:multiLevelType w:val="hybridMultilevel"/>
    <w:tmpl w:val="5AC22ABC"/>
    <w:lvl w:ilvl="0" w:tplc="75327D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E1490"/>
    <w:multiLevelType w:val="hybridMultilevel"/>
    <w:tmpl w:val="12B04548"/>
    <w:lvl w:ilvl="0" w:tplc="84B8E9D4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0"/>
    <w:rsid w:val="00032E91"/>
    <w:rsid w:val="000431C3"/>
    <w:rsid w:val="00052836"/>
    <w:rsid w:val="00087AF5"/>
    <w:rsid w:val="000D22E6"/>
    <w:rsid w:val="001102E0"/>
    <w:rsid w:val="00137369"/>
    <w:rsid w:val="002143A3"/>
    <w:rsid w:val="002B4AB5"/>
    <w:rsid w:val="002F3E02"/>
    <w:rsid w:val="003053E8"/>
    <w:rsid w:val="00342C3F"/>
    <w:rsid w:val="003638C4"/>
    <w:rsid w:val="003F6BFB"/>
    <w:rsid w:val="004272A7"/>
    <w:rsid w:val="00441738"/>
    <w:rsid w:val="00463147"/>
    <w:rsid w:val="004A2352"/>
    <w:rsid w:val="004F1D2E"/>
    <w:rsid w:val="00517F20"/>
    <w:rsid w:val="005D3687"/>
    <w:rsid w:val="0060483F"/>
    <w:rsid w:val="00672B51"/>
    <w:rsid w:val="006932F4"/>
    <w:rsid w:val="00697100"/>
    <w:rsid w:val="0071587D"/>
    <w:rsid w:val="0073621D"/>
    <w:rsid w:val="0075775E"/>
    <w:rsid w:val="007759DE"/>
    <w:rsid w:val="007A47CE"/>
    <w:rsid w:val="007B1610"/>
    <w:rsid w:val="008230ED"/>
    <w:rsid w:val="008851A2"/>
    <w:rsid w:val="008D0909"/>
    <w:rsid w:val="008F2BF4"/>
    <w:rsid w:val="00940DF8"/>
    <w:rsid w:val="00982D39"/>
    <w:rsid w:val="009A5BBF"/>
    <w:rsid w:val="009D5006"/>
    <w:rsid w:val="00A11780"/>
    <w:rsid w:val="00A24DF7"/>
    <w:rsid w:val="00A562D1"/>
    <w:rsid w:val="00AE7422"/>
    <w:rsid w:val="00AF3566"/>
    <w:rsid w:val="00BD185E"/>
    <w:rsid w:val="00C5685C"/>
    <w:rsid w:val="00C617F3"/>
    <w:rsid w:val="00C666BA"/>
    <w:rsid w:val="00CB4138"/>
    <w:rsid w:val="00D06952"/>
    <w:rsid w:val="00DB0DBA"/>
    <w:rsid w:val="00DF2718"/>
    <w:rsid w:val="00E42593"/>
    <w:rsid w:val="00E449D5"/>
    <w:rsid w:val="00E77D67"/>
    <w:rsid w:val="00F4308D"/>
    <w:rsid w:val="00F87A07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sid w:val="009D5006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048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0483F"/>
    <w:rPr>
      <w:rFonts w:ascii="Segoe U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rsid w:val="0051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sop=2006-01-5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469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Links>
    <vt:vector size="12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http://www.pisrs.si/Pis.web/pregledPredpisa?sop=2006-01-5018</vt:lpwstr>
      </vt:variant>
      <vt:variant>
        <vt:lpwstr/>
      </vt:variant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http://www.pisrs.si/Pis.web/pregledPredpisa?id=ZAKO4697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2019-12-23T11:33:00Z</dcterms:created>
  <dcterms:modified xsi:type="dcterms:W3CDTF">2019-12-23T11:34:00Z</dcterms:modified>
</cp:coreProperties>
</file>