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rPr>
          <w:rFonts w:cs="Arial"/>
          <w:b/>
          <w:bCs/>
          <w:sz w:val="20"/>
          <w:szCs w:val="20"/>
        </w:rPr>
      </w:pPr>
      <w:r w:rsidRPr="00E255A7">
        <w:rPr>
          <w:rFonts w:cs="Arial"/>
          <w:b/>
          <w:bCs/>
          <w:sz w:val="20"/>
          <w:szCs w:val="20"/>
        </w:rPr>
        <w:t>NAVODILO ZA IZPOLNJEVANJE OBRAZCA NAPOVEDI ZA ODMERO DOHODNINE OD DOBIČKA IZ KAPITALA PR</w:t>
      </w:r>
      <w:r w:rsidR="0063586B">
        <w:rPr>
          <w:rFonts w:cs="Arial"/>
          <w:b/>
          <w:bCs/>
          <w:sz w:val="20"/>
          <w:szCs w:val="20"/>
        </w:rPr>
        <w:t>I</w:t>
      </w:r>
      <w:r w:rsidRPr="00E255A7">
        <w:rPr>
          <w:rFonts w:cs="Arial"/>
          <w:b/>
          <w:bCs/>
          <w:sz w:val="20"/>
          <w:szCs w:val="20"/>
        </w:rPr>
        <w:t xml:space="preserve"> ODSVOJITVI NEPREMIČNINE</w:t>
      </w:r>
    </w:p>
    <w:p w:rsidR="00FB71FF" w:rsidRPr="00565617" w:rsidRDefault="00FB71FF" w:rsidP="00FB71FF">
      <w:pPr>
        <w:pStyle w:val="Telobesedila"/>
        <w:spacing w:line="260" w:lineRule="atLeast"/>
        <w:rPr>
          <w:rFonts w:cs="Arial"/>
          <w:color w:val="0070C0"/>
          <w:sz w:val="20"/>
          <w:szCs w:val="20"/>
        </w:rPr>
      </w:pPr>
    </w:p>
    <w:p w:rsidR="00FB71FF" w:rsidRPr="00286431" w:rsidRDefault="00FB71FF" w:rsidP="00FB71FF">
      <w:pPr>
        <w:pStyle w:val="Telobesedila"/>
        <w:tabs>
          <w:tab w:val="left" w:pos="284"/>
        </w:tabs>
        <w:spacing w:line="260" w:lineRule="atLeast"/>
        <w:rPr>
          <w:rFonts w:cs="Arial"/>
          <w:sz w:val="20"/>
          <w:szCs w:val="20"/>
        </w:rPr>
      </w:pPr>
      <w:r w:rsidRPr="00565617">
        <w:rPr>
          <w:rFonts w:cs="Arial"/>
          <w:sz w:val="20"/>
          <w:szCs w:val="20"/>
        </w:rPr>
        <w:t xml:space="preserve">1. </w:t>
      </w:r>
      <w:r w:rsidRPr="00565617">
        <w:rPr>
          <w:rFonts w:cs="Arial"/>
          <w:sz w:val="20"/>
          <w:szCs w:val="20"/>
        </w:rPr>
        <w:tab/>
        <w:t>UVOD</w:t>
      </w: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ind w:left="426"/>
        <w:rPr>
          <w:rFonts w:cs="Arial"/>
          <w:sz w:val="20"/>
          <w:szCs w:val="20"/>
        </w:rPr>
      </w:pPr>
    </w:p>
    <w:p w:rsidR="00FB71FF" w:rsidRPr="00E255A7" w:rsidRDefault="00FB71FF" w:rsidP="00377023">
      <w:p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 xml:space="preserve">Napoved za odmero dohodnine od dobička iz kapitala pri odsvojitvi nepremičnine mora davčni zavezanec vložiti v 15 dneh od odsvojitve nepremičnine pri finančnem uradu, kjer nepremičnina leži. </w:t>
      </w:r>
    </w:p>
    <w:p w:rsidR="00FB71FF" w:rsidRPr="00E255A7" w:rsidRDefault="00FB71FF" w:rsidP="00377023">
      <w:pPr>
        <w:autoSpaceDE w:val="0"/>
        <w:autoSpaceDN w:val="0"/>
        <w:adjustRightInd w:val="0"/>
        <w:spacing w:line="260" w:lineRule="atLeast"/>
        <w:ind w:left="426" w:hanging="426"/>
        <w:rPr>
          <w:rFonts w:cs="Arial"/>
          <w:sz w:val="20"/>
          <w:szCs w:val="20"/>
        </w:rPr>
      </w:pPr>
    </w:p>
    <w:p w:rsidR="00FB71FF" w:rsidRPr="00E255A7" w:rsidRDefault="00FB71FF" w:rsidP="00377023">
      <w:p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 xml:space="preserve">Davčni zavezanci so napoved dolžni oddati ob odsvojitvi nepremičnine, ne glede na to, ali je bila nepremičnina odsvojena v spremenjenem ali nespremenjenem stanju. Napovedi ni treba oddati, če </w:t>
      </w:r>
      <w:r w:rsidR="00F824E7">
        <w:rPr>
          <w:rFonts w:cs="Arial"/>
          <w:sz w:val="20"/>
          <w:szCs w:val="20"/>
        </w:rPr>
        <w:t>je od pridobitve nepremičnine do njene odsvojitve minilo več kot 15 let.</w:t>
      </w:r>
    </w:p>
    <w:p w:rsidR="00FB71FF" w:rsidRPr="00E255A7" w:rsidRDefault="00FB71FF" w:rsidP="00377023">
      <w:pPr>
        <w:autoSpaceDE w:val="0"/>
        <w:autoSpaceDN w:val="0"/>
        <w:adjustRightInd w:val="0"/>
        <w:spacing w:line="260" w:lineRule="atLeast"/>
        <w:ind w:left="426" w:hanging="426"/>
        <w:rPr>
          <w:rFonts w:cs="Arial"/>
          <w:sz w:val="20"/>
          <w:szCs w:val="20"/>
        </w:rPr>
      </w:pPr>
    </w:p>
    <w:p w:rsidR="00FB71FF" w:rsidRPr="00E255A7" w:rsidRDefault="00FB71FF" w:rsidP="00377023">
      <w:p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Za obdavčljivo odsvojitev nepremičnine se šteje vsaka odsvojitev nepremičnine, kot so zlasti prodaja nepremičnine, dajanje nepremičnine v dar ter zamenjava nepremičnine.</w:t>
      </w:r>
      <w:r w:rsidRPr="00C00671">
        <w:rPr>
          <w:rFonts w:cs="Arial"/>
          <w:sz w:val="20"/>
          <w:szCs w:val="20"/>
        </w:rPr>
        <w:t xml:space="preserve"> </w:t>
      </w: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</w:p>
    <w:p w:rsidR="00FB71FF" w:rsidRPr="00E255A7" w:rsidRDefault="00FB71FF" w:rsidP="00FB71FF">
      <w:pPr>
        <w:pStyle w:val="Telobesedila"/>
        <w:tabs>
          <w:tab w:val="left" w:pos="284"/>
        </w:tabs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 xml:space="preserve">2. </w:t>
      </w:r>
      <w:r w:rsidRPr="00E255A7">
        <w:rPr>
          <w:rFonts w:cs="Arial"/>
          <w:sz w:val="20"/>
          <w:szCs w:val="20"/>
        </w:rPr>
        <w:tab/>
        <w:t>VPISOVANJE PODATKOV POD TOČKO 1 – OZNAKA STATUSA NAPOVEDI</w:t>
      </w:r>
    </w:p>
    <w:p w:rsidR="00FB71FF" w:rsidRPr="00E255A7" w:rsidRDefault="00FB71FF" w:rsidP="00FB71FF">
      <w:pPr>
        <w:spacing w:line="260" w:lineRule="atLeast"/>
        <w:ind w:left="426"/>
        <w:rPr>
          <w:rFonts w:cs="Arial"/>
          <w:b/>
          <w:bCs/>
          <w:sz w:val="20"/>
          <w:szCs w:val="20"/>
        </w:rPr>
      </w:pPr>
    </w:p>
    <w:p w:rsidR="00FB71FF" w:rsidRPr="00E255A7" w:rsidRDefault="00FB71FF" w:rsidP="00FB71FF">
      <w:pPr>
        <w:spacing w:line="260" w:lineRule="atLeast"/>
        <w:rPr>
          <w:rFonts w:cs="Arial"/>
          <w:b/>
          <w:bCs/>
          <w:sz w:val="20"/>
          <w:szCs w:val="20"/>
        </w:rPr>
      </w:pPr>
      <w:r w:rsidRPr="00E255A7">
        <w:rPr>
          <w:rFonts w:cs="Arial"/>
          <w:sz w:val="20"/>
          <w:szCs w:val="20"/>
        </w:rPr>
        <w:t xml:space="preserve">Z vpisom ustrezne številke se označi status vložene napovedi, glede na njeno vsebino oz. namen ter v skladu z določbami 62. do 64. člena </w:t>
      </w:r>
      <w:hyperlink r:id="rId8" w:history="1">
        <w:r w:rsidRPr="00E255A7">
          <w:rPr>
            <w:rStyle w:val="Hiperpovezava"/>
            <w:rFonts w:cs="Arial"/>
            <w:sz w:val="20"/>
            <w:szCs w:val="20"/>
          </w:rPr>
          <w:t>Zakona o davčnem postopku – ZDavP-2</w:t>
        </w:r>
      </w:hyperlink>
      <w:r w:rsidRPr="00E255A7">
        <w:rPr>
          <w:rFonts w:cs="Arial"/>
          <w:sz w:val="20"/>
          <w:szCs w:val="20"/>
        </w:rPr>
        <w:t xml:space="preserve">. Polje se torej ne izpolnjuje, kadar se oddaja prva napoved za obdobje oz. se izpolnjuje samo, </w:t>
      </w:r>
      <w:r w:rsidRPr="00E255A7">
        <w:rPr>
          <w:rFonts w:cs="Arial"/>
          <w:b/>
          <w:bCs/>
          <w:sz w:val="20"/>
          <w:szCs w:val="20"/>
        </w:rPr>
        <w:t xml:space="preserve">ko se napoved oddaja z uveljavljanjem določb ZDavP-2, ki urejajo naknadno predložitev oziroma popravljanje napovedi. </w:t>
      </w:r>
    </w:p>
    <w:p w:rsidR="00FB71FF" w:rsidRPr="00E255A7" w:rsidRDefault="00FB71FF" w:rsidP="00FB71FF">
      <w:pPr>
        <w:spacing w:line="260" w:lineRule="atLeast"/>
        <w:rPr>
          <w:rFonts w:cs="Arial"/>
          <w:sz w:val="20"/>
          <w:szCs w:val="20"/>
        </w:rPr>
      </w:pPr>
    </w:p>
    <w:p w:rsidR="00FB71FF" w:rsidRPr="00E255A7" w:rsidRDefault="00FB71FF" w:rsidP="00FB71FF">
      <w:pPr>
        <w:spacing w:line="260" w:lineRule="atLeast"/>
        <w:rPr>
          <w:rFonts w:cs="Arial"/>
          <w:b/>
          <w:bCs/>
          <w:sz w:val="20"/>
          <w:szCs w:val="20"/>
          <w:u w:val="single"/>
        </w:rPr>
      </w:pPr>
      <w:r w:rsidRPr="00E255A7">
        <w:rPr>
          <w:rFonts w:cs="Arial"/>
          <w:b/>
          <w:bCs/>
          <w:sz w:val="20"/>
          <w:szCs w:val="20"/>
          <w:u w:val="single"/>
        </w:rPr>
        <w:t>Oznaka 1</w:t>
      </w:r>
    </w:p>
    <w:p w:rsidR="00FB71FF" w:rsidRPr="00E255A7" w:rsidRDefault="00FB71FF" w:rsidP="00FB71FF">
      <w:pPr>
        <w:tabs>
          <w:tab w:val="left" w:pos="0"/>
        </w:tabs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 xml:space="preserve">Davčni zavezanec, ki je iz opravičljivih razlogov zamudil rok za predložitev davčne napovedi, lahko pri pristojnem davčnem organu v skladu z 62. členom ZDavP-2, vloži predlog za naknadno predložitev davčne napovedi. V predlogu mora obrazložiti razloge za zamudo in predložiti dokaze za svoje navedbe. Za opravičljive razloge se štejejo okoliščine, ki jih davčni zavezanec ni mogel predvideti oziroma odvrniti, </w:t>
      </w:r>
      <w:bookmarkStart w:id="0" w:name="_GoBack"/>
      <w:bookmarkEnd w:id="0"/>
      <w:r w:rsidRPr="00E255A7">
        <w:rPr>
          <w:rFonts w:cs="Arial"/>
          <w:sz w:val="20"/>
          <w:szCs w:val="20"/>
        </w:rPr>
        <w:t xml:space="preserve">in preprečujejo sestavo oziroma vložitev davčne napovedi v predpisanem roku. Predlog za naknadno predložitev davčne napovedi mora davčni zavezanec vložiti v osmih dneh po prenehanju razlogov za zamudo, vendar najpozneje v treh mesecih po izteku roka za predložitev napovedi. Davčni zavezanec mora vlogi za naknadno vložitev davčne napovedi praviloma priložiti davčno napoved. V primeru, da razlogi, ki preprečujejo sestavo oziroma vložitev davčne napovedi, v času vložitve vloge še trajajo, lahko zavezanec vlogo za naknadno vložitev davčne napovedi vloži brez priložene davčne napovedi, mora pa navesti rok, v katerem bo napoved predložil. Če v tem primeru davčni organ dovoli predložitev napovedi po izteku predpisanega roka, določi rok za predložitev napovedi s sklepom. </w:t>
      </w:r>
      <w:r w:rsidRPr="00E255A7">
        <w:rPr>
          <w:rFonts w:cs="Arial"/>
          <w:sz w:val="20"/>
          <w:szCs w:val="20"/>
          <w:u w:val="single"/>
        </w:rPr>
        <w:t>Davčni zavezanec, ki vlaga napoved po izteku predpisanega roka na podlagi 62. člena ZDavP-2, mora na napovedi v rubriki »Oznaka statusa napovedi« vpisati številko 1 (vložitev po izteku roka).</w:t>
      </w:r>
      <w:r w:rsidRPr="00E255A7">
        <w:rPr>
          <w:rFonts w:cs="Arial"/>
          <w:sz w:val="20"/>
          <w:szCs w:val="20"/>
        </w:rPr>
        <w:t xml:space="preserve"> </w:t>
      </w:r>
    </w:p>
    <w:p w:rsidR="00FB71FF" w:rsidRPr="00E255A7" w:rsidRDefault="00FB71FF" w:rsidP="00FB71FF">
      <w:pPr>
        <w:spacing w:line="260" w:lineRule="atLeast"/>
        <w:ind w:left="426"/>
        <w:rPr>
          <w:rFonts w:cs="Arial"/>
          <w:sz w:val="20"/>
          <w:szCs w:val="20"/>
        </w:rPr>
      </w:pPr>
    </w:p>
    <w:p w:rsidR="00FB71FF" w:rsidRPr="00E255A7" w:rsidRDefault="00FB71FF" w:rsidP="00FB71FF">
      <w:pPr>
        <w:spacing w:line="260" w:lineRule="atLeast"/>
        <w:rPr>
          <w:rFonts w:cs="Arial"/>
          <w:b/>
          <w:bCs/>
          <w:sz w:val="20"/>
          <w:szCs w:val="20"/>
          <w:u w:val="single"/>
        </w:rPr>
      </w:pPr>
      <w:r w:rsidRPr="00E255A7">
        <w:rPr>
          <w:rFonts w:cs="Arial"/>
          <w:b/>
          <w:bCs/>
          <w:sz w:val="20"/>
          <w:szCs w:val="20"/>
          <w:u w:val="single"/>
        </w:rPr>
        <w:t>Oznaka 2</w:t>
      </w:r>
    </w:p>
    <w:p w:rsidR="00FB71FF" w:rsidRPr="00E255A7" w:rsidRDefault="00FB71FF" w:rsidP="00FB71FF">
      <w:pPr>
        <w:spacing w:line="260" w:lineRule="atLeast"/>
        <w:rPr>
          <w:rFonts w:cs="Arial"/>
          <w:sz w:val="20"/>
          <w:szCs w:val="20"/>
          <w:u w:val="single"/>
        </w:rPr>
      </w:pPr>
      <w:r w:rsidRPr="00E255A7">
        <w:rPr>
          <w:rFonts w:cs="Arial"/>
          <w:sz w:val="20"/>
          <w:szCs w:val="20"/>
        </w:rPr>
        <w:t xml:space="preserve">Če je davčni zavezanec zamudil rok za vložitev davčne napovedi, pa ne izpolnjuje pogojev za predložitev napovedi po izteku predpisanega roka, lahko na podlagi 63. člena ZDavP-2 najpozneje do vročitve </w:t>
      </w:r>
      <w:proofErr w:type="spellStart"/>
      <w:r w:rsidRPr="00E255A7">
        <w:rPr>
          <w:rFonts w:cs="Arial"/>
          <w:sz w:val="20"/>
          <w:szCs w:val="20"/>
        </w:rPr>
        <w:t>odmerne</w:t>
      </w:r>
      <w:proofErr w:type="spellEnd"/>
      <w:r w:rsidRPr="00E255A7">
        <w:rPr>
          <w:rFonts w:cs="Arial"/>
          <w:sz w:val="20"/>
          <w:szCs w:val="20"/>
        </w:rPr>
        <w:t xml:space="preserve"> odločbe oziroma do začetka davčnega inšpekcijskega nadzora oziroma do začetka postopka o prekršku oziroma kazenskega postopka vloži davčno napoved na podlagi </w:t>
      </w:r>
      <w:proofErr w:type="spellStart"/>
      <w:r w:rsidRPr="00E255A7">
        <w:rPr>
          <w:rFonts w:cs="Arial"/>
          <w:sz w:val="20"/>
          <w:szCs w:val="20"/>
        </w:rPr>
        <w:t>samoprijave</w:t>
      </w:r>
      <w:proofErr w:type="spellEnd"/>
      <w:r w:rsidRPr="00E255A7">
        <w:rPr>
          <w:rFonts w:cs="Arial"/>
          <w:sz w:val="20"/>
          <w:szCs w:val="20"/>
        </w:rPr>
        <w:t xml:space="preserve">. </w:t>
      </w:r>
      <w:r w:rsidRPr="005647A1">
        <w:rPr>
          <w:rFonts w:cs="Arial"/>
          <w:sz w:val="20"/>
          <w:szCs w:val="20"/>
        </w:rPr>
        <w:t xml:space="preserve">Vložitev davčne napovedi na podlagi </w:t>
      </w:r>
      <w:proofErr w:type="spellStart"/>
      <w:r w:rsidRPr="005647A1">
        <w:rPr>
          <w:rFonts w:cs="Arial"/>
          <w:sz w:val="20"/>
          <w:szCs w:val="20"/>
        </w:rPr>
        <w:t>samoprijave</w:t>
      </w:r>
      <w:proofErr w:type="spellEnd"/>
      <w:r w:rsidRPr="005647A1">
        <w:rPr>
          <w:rFonts w:cs="Arial"/>
          <w:sz w:val="20"/>
          <w:szCs w:val="20"/>
        </w:rPr>
        <w:t xml:space="preserve"> ni več mogoča, ko prvič nastopi ena izmed okoliščin iz prejšnjega stavka. </w:t>
      </w:r>
      <w:r w:rsidRPr="00E255A7">
        <w:rPr>
          <w:rFonts w:cs="Arial"/>
          <w:sz w:val="20"/>
          <w:szCs w:val="20"/>
        </w:rPr>
        <w:t xml:space="preserve">Na podlagi 396. člena ZDavP-2 se davčni zavezanec, ki predloži davčno napoved na podlagi </w:t>
      </w:r>
      <w:proofErr w:type="spellStart"/>
      <w:r w:rsidRPr="00E255A7">
        <w:rPr>
          <w:rFonts w:cs="Arial"/>
          <w:sz w:val="20"/>
          <w:szCs w:val="20"/>
        </w:rPr>
        <w:t>samoprijave</w:t>
      </w:r>
      <w:proofErr w:type="spellEnd"/>
      <w:r w:rsidRPr="00E255A7">
        <w:rPr>
          <w:rFonts w:cs="Arial"/>
          <w:sz w:val="20"/>
          <w:szCs w:val="20"/>
        </w:rPr>
        <w:t xml:space="preserve">, ne kaznuje za prekršek, če plača davek, ki je odmerjen na podlagi </w:t>
      </w:r>
      <w:proofErr w:type="spellStart"/>
      <w:r w:rsidRPr="00E255A7">
        <w:rPr>
          <w:rFonts w:cs="Arial"/>
          <w:sz w:val="20"/>
          <w:szCs w:val="20"/>
        </w:rPr>
        <w:t>samoprijave</w:t>
      </w:r>
      <w:proofErr w:type="spellEnd"/>
      <w:r w:rsidRPr="00E255A7">
        <w:rPr>
          <w:rFonts w:cs="Arial"/>
          <w:color w:val="FF0000"/>
          <w:sz w:val="20"/>
          <w:szCs w:val="20"/>
        </w:rPr>
        <w:t>.</w:t>
      </w:r>
      <w:r w:rsidRPr="00565617">
        <w:rPr>
          <w:rFonts w:cs="Arial"/>
          <w:color w:val="00B050"/>
          <w:sz w:val="20"/>
          <w:szCs w:val="20"/>
        </w:rPr>
        <w:t xml:space="preserve"> </w:t>
      </w:r>
      <w:r w:rsidRPr="00565617">
        <w:rPr>
          <w:rFonts w:cs="Arial"/>
          <w:sz w:val="20"/>
          <w:szCs w:val="20"/>
        </w:rPr>
        <w:t xml:space="preserve">Davčni zavezanec ne more vložiti nove </w:t>
      </w:r>
      <w:proofErr w:type="spellStart"/>
      <w:r w:rsidRPr="00565617">
        <w:rPr>
          <w:rFonts w:cs="Arial"/>
          <w:sz w:val="20"/>
          <w:szCs w:val="20"/>
        </w:rPr>
        <w:t>samoprijave</w:t>
      </w:r>
      <w:proofErr w:type="spellEnd"/>
      <w:r w:rsidRPr="00565617">
        <w:rPr>
          <w:rFonts w:cs="Arial"/>
          <w:sz w:val="20"/>
          <w:szCs w:val="20"/>
        </w:rPr>
        <w:t xml:space="preserve"> glede obveznosti</w:t>
      </w:r>
      <w:r>
        <w:rPr>
          <w:rFonts w:cs="Arial"/>
          <w:sz w:val="20"/>
          <w:szCs w:val="20"/>
        </w:rPr>
        <w:t>,</w:t>
      </w:r>
      <w:r w:rsidRPr="00565617">
        <w:rPr>
          <w:rFonts w:cs="Arial"/>
          <w:sz w:val="20"/>
          <w:szCs w:val="20"/>
        </w:rPr>
        <w:t xml:space="preserve"> v zvezi s katerimi je </w:t>
      </w:r>
      <w:proofErr w:type="spellStart"/>
      <w:r w:rsidRPr="00565617">
        <w:rPr>
          <w:rFonts w:cs="Arial"/>
          <w:sz w:val="20"/>
          <w:szCs w:val="20"/>
        </w:rPr>
        <w:t>samoprijavo</w:t>
      </w:r>
      <w:proofErr w:type="spellEnd"/>
      <w:r w:rsidRPr="00565617">
        <w:rPr>
          <w:rFonts w:cs="Arial"/>
          <w:sz w:val="20"/>
          <w:szCs w:val="20"/>
        </w:rPr>
        <w:t xml:space="preserve"> predhodno že vložil. </w:t>
      </w:r>
      <w:r w:rsidRPr="00E255A7">
        <w:rPr>
          <w:rFonts w:cs="Arial"/>
          <w:sz w:val="20"/>
          <w:szCs w:val="20"/>
          <w:u w:val="single"/>
        </w:rPr>
        <w:t xml:space="preserve">Davčni zavezanec, ki napoved vlaga na podlagi </w:t>
      </w:r>
      <w:proofErr w:type="spellStart"/>
      <w:r w:rsidRPr="00E255A7">
        <w:rPr>
          <w:rFonts w:cs="Arial"/>
          <w:sz w:val="20"/>
          <w:szCs w:val="20"/>
          <w:u w:val="single"/>
        </w:rPr>
        <w:t>samoprijave</w:t>
      </w:r>
      <w:proofErr w:type="spellEnd"/>
      <w:r w:rsidRPr="00E255A7">
        <w:rPr>
          <w:rFonts w:cs="Arial"/>
          <w:sz w:val="20"/>
          <w:szCs w:val="20"/>
          <w:u w:val="single"/>
        </w:rPr>
        <w:t xml:space="preserve"> v skladu s 63. členom ZDavP-2, mora na napovedi v rubriki »Oznaka statusa napovedi« vpisati številko 2 (</w:t>
      </w:r>
      <w:proofErr w:type="spellStart"/>
      <w:r w:rsidRPr="00E255A7">
        <w:rPr>
          <w:rFonts w:cs="Arial"/>
          <w:sz w:val="20"/>
          <w:szCs w:val="20"/>
          <w:u w:val="single"/>
        </w:rPr>
        <w:t>samoprijava</w:t>
      </w:r>
      <w:proofErr w:type="spellEnd"/>
      <w:r w:rsidRPr="00E255A7">
        <w:rPr>
          <w:rFonts w:cs="Arial"/>
          <w:sz w:val="20"/>
          <w:szCs w:val="20"/>
          <w:u w:val="single"/>
        </w:rPr>
        <w:t>).</w:t>
      </w:r>
    </w:p>
    <w:p w:rsidR="00FB71FF" w:rsidRPr="00E255A7" w:rsidRDefault="00FB71FF" w:rsidP="00FB71FF">
      <w:pPr>
        <w:spacing w:line="260" w:lineRule="atLeast"/>
        <w:ind w:left="426"/>
        <w:rPr>
          <w:rFonts w:cs="Arial"/>
          <w:sz w:val="20"/>
          <w:szCs w:val="20"/>
        </w:rPr>
      </w:pPr>
    </w:p>
    <w:p w:rsidR="00FB71FF" w:rsidRPr="00E255A7" w:rsidRDefault="00FB71FF" w:rsidP="00FB71FF">
      <w:pPr>
        <w:spacing w:line="260" w:lineRule="atLeast"/>
        <w:rPr>
          <w:rFonts w:cs="Arial"/>
          <w:b/>
          <w:bCs/>
          <w:sz w:val="20"/>
          <w:szCs w:val="20"/>
          <w:u w:val="single"/>
        </w:rPr>
      </w:pPr>
      <w:r w:rsidRPr="00E255A7">
        <w:rPr>
          <w:rFonts w:cs="Arial"/>
          <w:b/>
          <w:bCs/>
          <w:sz w:val="20"/>
          <w:szCs w:val="20"/>
          <w:u w:val="single"/>
        </w:rPr>
        <w:t>Oznaka 3</w:t>
      </w:r>
    </w:p>
    <w:p w:rsidR="00FB71FF" w:rsidRPr="00E255A7" w:rsidRDefault="00FB71FF" w:rsidP="00FB71FF">
      <w:pPr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 xml:space="preserve">Davčni zavezanec lahko v skladu s 64. členom ZDavP-2 popravi davčno napoved najpozneje do </w:t>
      </w:r>
      <w:r>
        <w:rPr>
          <w:rFonts w:cs="Arial"/>
          <w:sz w:val="20"/>
          <w:szCs w:val="20"/>
        </w:rPr>
        <w:t>vročitve</w:t>
      </w:r>
      <w:r w:rsidRPr="00E255A7">
        <w:rPr>
          <w:rFonts w:cs="Arial"/>
          <w:sz w:val="20"/>
          <w:szCs w:val="20"/>
        </w:rPr>
        <w:t xml:space="preserve"> </w:t>
      </w:r>
      <w:proofErr w:type="spellStart"/>
      <w:r w:rsidRPr="00E255A7">
        <w:rPr>
          <w:rFonts w:cs="Arial"/>
          <w:sz w:val="20"/>
          <w:szCs w:val="20"/>
        </w:rPr>
        <w:t>odmerne</w:t>
      </w:r>
      <w:proofErr w:type="spellEnd"/>
      <w:r w:rsidRPr="00E255A7">
        <w:rPr>
          <w:rFonts w:cs="Arial"/>
          <w:sz w:val="20"/>
          <w:szCs w:val="20"/>
        </w:rPr>
        <w:t xml:space="preserve"> odločbe. </w:t>
      </w:r>
      <w:r w:rsidRPr="00E255A7">
        <w:rPr>
          <w:rFonts w:cs="Arial"/>
          <w:sz w:val="20"/>
          <w:szCs w:val="20"/>
          <w:u w:val="single"/>
        </w:rPr>
        <w:t>Davčni zavezanec, ki popravlja že vloženo napoved</w:t>
      </w:r>
      <w:r>
        <w:rPr>
          <w:rFonts w:cs="Arial"/>
          <w:sz w:val="20"/>
          <w:szCs w:val="20"/>
          <w:u w:val="single"/>
        </w:rPr>
        <w:t>,</w:t>
      </w:r>
      <w:r w:rsidRPr="00E255A7">
        <w:rPr>
          <w:rFonts w:cs="Arial"/>
          <w:sz w:val="20"/>
          <w:szCs w:val="20"/>
          <w:u w:val="single"/>
        </w:rPr>
        <w:t xml:space="preserve"> preden je </w:t>
      </w:r>
      <w:r>
        <w:rPr>
          <w:rFonts w:cs="Arial"/>
          <w:sz w:val="20"/>
          <w:szCs w:val="20"/>
          <w:u w:val="single"/>
        </w:rPr>
        <w:t>vročena</w:t>
      </w:r>
      <w:r w:rsidRPr="00E255A7">
        <w:rPr>
          <w:rFonts w:cs="Arial"/>
          <w:sz w:val="20"/>
          <w:szCs w:val="20"/>
          <w:u w:val="single"/>
        </w:rPr>
        <w:t xml:space="preserve"> </w:t>
      </w:r>
      <w:proofErr w:type="spellStart"/>
      <w:r w:rsidRPr="00E255A7">
        <w:rPr>
          <w:rFonts w:cs="Arial"/>
          <w:sz w:val="20"/>
          <w:szCs w:val="20"/>
          <w:u w:val="single"/>
        </w:rPr>
        <w:t>odmerna</w:t>
      </w:r>
      <w:proofErr w:type="spellEnd"/>
      <w:r w:rsidRPr="00E255A7">
        <w:rPr>
          <w:rFonts w:cs="Arial"/>
          <w:sz w:val="20"/>
          <w:szCs w:val="20"/>
          <w:u w:val="single"/>
        </w:rPr>
        <w:t xml:space="preserve"> </w:t>
      </w:r>
      <w:r w:rsidRPr="00E255A7">
        <w:rPr>
          <w:rFonts w:cs="Arial"/>
          <w:sz w:val="20"/>
          <w:szCs w:val="20"/>
          <w:u w:val="single"/>
        </w:rPr>
        <w:lastRenderedPageBreak/>
        <w:t>odločba,</w:t>
      </w:r>
      <w:r w:rsidRPr="00E255A7">
        <w:rPr>
          <w:rFonts w:cs="Arial"/>
          <w:color w:val="FF0000"/>
          <w:sz w:val="20"/>
          <w:szCs w:val="20"/>
          <w:u w:val="single"/>
        </w:rPr>
        <w:t xml:space="preserve"> </w:t>
      </w:r>
      <w:r w:rsidRPr="00E255A7">
        <w:rPr>
          <w:rFonts w:cs="Arial"/>
          <w:sz w:val="20"/>
          <w:szCs w:val="20"/>
          <w:u w:val="single"/>
        </w:rPr>
        <w:t>mora na napovedi v rubriki »Oznaka statusa napovedi« vpisati številko 3 (</w:t>
      </w:r>
      <w:r w:rsidRPr="005647A1">
        <w:rPr>
          <w:rFonts w:cs="Arial"/>
          <w:sz w:val="20"/>
          <w:szCs w:val="20"/>
          <w:u w:val="single"/>
        </w:rPr>
        <w:t>popravljanje že vložene napovedi, če odločba še ni bila vročena</w:t>
      </w:r>
      <w:r w:rsidRPr="00E255A7">
        <w:rPr>
          <w:rFonts w:cs="Arial"/>
          <w:sz w:val="20"/>
          <w:szCs w:val="20"/>
          <w:u w:val="single"/>
        </w:rPr>
        <w:t>).</w:t>
      </w:r>
      <w:r w:rsidRPr="00E255A7">
        <w:rPr>
          <w:rFonts w:cs="Arial"/>
          <w:sz w:val="20"/>
          <w:szCs w:val="20"/>
        </w:rPr>
        <w:t xml:space="preserve"> </w:t>
      </w:r>
    </w:p>
    <w:p w:rsidR="00FB71FF" w:rsidRPr="00E255A7" w:rsidRDefault="00FB71FF" w:rsidP="00FB71FF">
      <w:pPr>
        <w:spacing w:line="260" w:lineRule="atLeast"/>
        <w:rPr>
          <w:rFonts w:cs="Arial"/>
          <w:sz w:val="20"/>
          <w:szCs w:val="20"/>
        </w:rPr>
      </w:pPr>
    </w:p>
    <w:p w:rsidR="00FB71FF" w:rsidRPr="00E255A7" w:rsidRDefault="00FB71FF" w:rsidP="00FB71FF">
      <w:pPr>
        <w:tabs>
          <w:tab w:val="left" w:pos="284"/>
        </w:tabs>
        <w:spacing w:line="260" w:lineRule="atLeast"/>
        <w:rPr>
          <w:rFonts w:cs="Arial"/>
          <w:b/>
          <w:sz w:val="20"/>
          <w:szCs w:val="20"/>
        </w:rPr>
      </w:pPr>
      <w:r w:rsidRPr="00E255A7">
        <w:rPr>
          <w:rFonts w:cs="Arial"/>
          <w:b/>
          <w:sz w:val="20"/>
          <w:szCs w:val="20"/>
        </w:rPr>
        <w:t xml:space="preserve">3. </w:t>
      </w:r>
      <w:r w:rsidRPr="00E255A7">
        <w:rPr>
          <w:rFonts w:cs="Arial"/>
          <w:b/>
          <w:sz w:val="20"/>
          <w:szCs w:val="20"/>
        </w:rPr>
        <w:tab/>
        <w:t>VPISOVANJE PODATKOV POD TOČKO 2 – PODATKI O ZAVEZANCU</w:t>
      </w:r>
    </w:p>
    <w:p w:rsidR="00FB71FF" w:rsidRPr="00E255A7" w:rsidRDefault="00FB71FF" w:rsidP="00FB71FF">
      <w:pPr>
        <w:spacing w:line="260" w:lineRule="atLeast"/>
        <w:ind w:left="720"/>
        <w:rPr>
          <w:rFonts w:cs="Arial"/>
          <w:sz w:val="20"/>
          <w:szCs w:val="20"/>
        </w:rPr>
      </w:pPr>
    </w:p>
    <w:p w:rsidR="00FB71FF" w:rsidRPr="00EA72D1" w:rsidRDefault="00FB71FF" w:rsidP="00FB71FF">
      <w:pPr>
        <w:spacing w:line="260" w:lineRule="atLeast"/>
        <w:rPr>
          <w:rFonts w:cs="Arial"/>
          <w:sz w:val="20"/>
          <w:szCs w:val="20"/>
        </w:rPr>
      </w:pPr>
      <w:r w:rsidRPr="00565617">
        <w:rPr>
          <w:rFonts w:cs="Arial"/>
          <w:sz w:val="20"/>
          <w:szCs w:val="20"/>
        </w:rPr>
        <w:t xml:space="preserve">Vpišejo se osnovni identifikacijski podatki zavezanca (ime in priimek, davčna številka, naslov bivališča, </w:t>
      </w:r>
      <w:r w:rsidRPr="00286431">
        <w:rPr>
          <w:rFonts w:cs="Arial"/>
          <w:sz w:val="20"/>
          <w:szCs w:val="20"/>
        </w:rPr>
        <w:t>elektronski naslov, telefonska štev</w:t>
      </w:r>
      <w:r w:rsidRPr="00EA72D1">
        <w:rPr>
          <w:rFonts w:cs="Arial"/>
          <w:sz w:val="20"/>
          <w:szCs w:val="20"/>
        </w:rPr>
        <w:t>ilka in rezidentstvo ter država rezidentstva).</w:t>
      </w:r>
    </w:p>
    <w:p w:rsidR="00FB71FF" w:rsidRPr="00E255A7" w:rsidRDefault="00FB71FF" w:rsidP="00FB71FF">
      <w:pPr>
        <w:spacing w:line="260" w:lineRule="atLeast"/>
        <w:rPr>
          <w:rFonts w:cs="Arial"/>
          <w:sz w:val="20"/>
          <w:szCs w:val="20"/>
        </w:rPr>
      </w:pPr>
    </w:p>
    <w:p w:rsidR="00FB71FF" w:rsidRPr="00E255A7" w:rsidRDefault="00FB71FF" w:rsidP="00FB71FF">
      <w:pPr>
        <w:tabs>
          <w:tab w:val="left" w:pos="284"/>
        </w:tabs>
        <w:autoSpaceDE w:val="0"/>
        <w:autoSpaceDN w:val="0"/>
        <w:adjustRightInd w:val="0"/>
        <w:spacing w:line="260" w:lineRule="atLeast"/>
        <w:rPr>
          <w:rFonts w:cs="Arial"/>
          <w:b/>
          <w:bCs/>
          <w:sz w:val="20"/>
          <w:szCs w:val="20"/>
        </w:rPr>
      </w:pPr>
      <w:r w:rsidRPr="00E255A7">
        <w:rPr>
          <w:rFonts w:cs="Arial"/>
          <w:b/>
          <w:bCs/>
          <w:sz w:val="20"/>
          <w:szCs w:val="20"/>
        </w:rPr>
        <w:t xml:space="preserve">4. </w:t>
      </w:r>
      <w:r w:rsidRPr="00E255A7">
        <w:rPr>
          <w:rFonts w:cs="Arial"/>
          <w:b/>
          <w:bCs/>
          <w:sz w:val="20"/>
          <w:szCs w:val="20"/>
        </w:rPr>
        <w:tab/>
        <w:t xml:space="preserve">VPISOVANJE PODATKOV POD TOČKO 3 – PODATKI O NEPREMIČNINI, KI JE PREDMET ODSVOJITVE </w:t>
      </w: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 xml:space="preserve">Zavezanec vpiše identifikacijske podatke o nepremičnini, ki je predmet odsvojitve. </w:t>
      </w: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 xml:space="preserve">V kolikor je predmet odsvojitve </w:t>
      </w:r>
      <w:r w:rsidRPr="00E255A7">
        <w:rPr>
          <w:rFonts w:cs="Arial"/>
          <w:sz w:val="20"/>
          <w:szCs w:val="20"/>
          <w:u w:val="single"/>
        </w:rPr>
        <w:t>parcela,</w:t>
      </w:r>
      <w:r w:rsidRPr="00E255A7">
        <w:rPr>
          <w:rFonts w:cs="Arial"/>
          <w:sz w:val="20"/>
          <w:szCs w:val="20"/>
        </w:rPr>
        <w:t xml:space="preserve"> se izpolnijo naslednji podatki:</w:t>
      </w:r>
    </w:p>
    <w:p w:rsidR="00FB71FF" w:rsidRPr="00E255A7" w:rsidRDefault="00FB71FF" w:rsidP="00FB71F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vrsta nepremičnine (vpiše se vrsta nepremičnine v obliki ustrezne številka iz Šifranta 1, ki je del napovedi),</w:t>
      </w:r>
    </w:p>
    <w:p w:rsidR="00FB71FF" w:rsidRPr="00E255A7" w:rsidRDefault="00FB71FF" w:rsidP="00FB71F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občina, kjer nepremičnina leži,</w:t>
      </w:r>
    </w:p>
    <w:p w:rsidR="00FB71FF" w:rsidRPr="00E255A7" w:rsidRDefault="00FB71FF" w:rsidP="00FB71F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šifra katastrske občine,</w:t>
      </w:r>
    </w:p>
    <w:p w:rsidR="00FB71FF" w:rsidRPr="00E255A7" w:rsidRDefault="00FB71FF" w:rsidP="00FB71F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številka parcele.</w:t>
      </w: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 xml:space="preserve">V kolikor je predmet odsvojitve </w:t>
      </w:r>
      <w:r w:rsidRPr="00E255A7">
        <w:rPr>
          <w:rFonts w:cs="Arial"/>
          <w:sz w:val="20"/>
          <w:szCs w:val="20"/>
          <w:u w:val="single"/>
        </w:rPr>
        <w:t>stavba ali del stavbe</w:t>
      </w:r>
      <w:r w:rsidRPr="00E255A7">
        <w:rPr>
          <w:rFonts w:cs="Arial"/>
          <w:sz w:val="20"/>
          <w:szCs w:val="20"/>
        </w:rPr>
        <w:t>, se izpolnijo naslednji podatki:</w:t>
      </w:r>
    </w:p>
    <w:p w:rsidR="00FB71FF" w:rsidRPr="00E255A7" w:rsidRDefault="00FB71FF" w:rsidP="00FB71F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vrsta nepremičnine (vpiše se vrsta nepremičnine v obliki ustrezne številka iz Šifranta 1, ki je del napovedi),</w:t>
      </w:r>
    </w:p>
    <w:p w:rsidR="00FB71FF" w:rsidRPr="00E255A7" w:rsidRDefault="00FB71FF" w:rsidP="00FB71F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občina, kjer nepremičnina leži,</w:t>
      </w:r>
    </w:p>
    <w:p w:rsidR="00FB71FF" w:rsidRPr="00E255A7" w:rsidRDefault="00FB71FF" w:rsidP="00FB71F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šifra katastrske občine,</w:t>
      </w:r>
    </w:p>
    <w:p w:rsidR="00FB71FF" w:rsidRPr="00E255A7" w:rsidRDefault="00FB71FF" w:rsidP="00FB71F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številka stavbe,</w:t>
      </w:r>
    </w:p>
    <w:p w:rsidR="00FB71FF" w:rsidRPr="00E255A7" w:rsidRDefault="00FB71FF" w:rsidP="00FB71F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številka dela stavbe (le kadar je predmet odsvojitve del stavbe),</w:t>
      </w:r>
    </w:p>
    <w:p w:rsidR="00FB71FF" w:rsidRPr="00E255A7" w:rsidRDefault="00FB71FF" w:rsidP="00FB71F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naslov.</w:t>
      </w: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ind w:left="426"/>
        <w:rPr>
          <w:rFonts w:cs="Arial"/>
          <w:sz w:val="20"/>
          <w:szCs w:val="20"/>
        </w:rPr>
      </w:pP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 xml:space="preserve">V primeru, da se z eno pogodbo </w:t>
      </w:r>
      <w:proofErr w:type="spellStart"/>
      <w:r w:rsidRPr="00E255A7">
        <w:rPr>
          <w:rFonts w:cs="Arial"/>
          <w:sz w:val="20"/>
          <w:szCs w:val="20"/>
        </w:rPr>
        <w:t>odsvaja</w:t>
      </w:r>
      <w:proofErr w:type="spellEnd"/>
      <w:r w:rsidRPr="00E255A7">
        <w:rPr>
          <w:rFonts w:cs="Arial"/>
          <w:sz w:val="20"/>
          <w:szCs w:val="20"/>
        </w:rPr>
        <w:t xml:space="preserve"> več nepremičnin, se vsaka nadaljnja nepremičnina vpiše na dodatni list, ki je oštevilčen (npr.: če se </w:t>
      </w:r>
      <w:proofErr w:type="spellStart"/>
      <w:r w:rsidRPr="00E255A7">
        <w:rPr>
          <w:rFonts w:cs="Arial"/>
          <w:sz w:val="20"/>
          <w:szCs w:val="20"/>
        </w:rPr>
        <w:t>odsvajajo</w:t>
      </w:r>
      <w:proofErr w:type="spellEnd"/>
      <w:r w:rsidRPr="00E255A7">
        <w:rPr>
          <w:rFonts w:cs="Arial"/>
          <w:sz w:val="20"/>
          <w:szCs w:val="20"/>
        </w:rPr>
        <w:t xml:space="preserve"> tri nepremičnine, bosta poleg osnovne napovedi, dodana še dva dodatna lista).</w:t>
      </w: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rPr>
          <w:rFonts w:cs="Arial"/>
          <w:b/>
          <w:bCs/>
          <w:sz w:val="20"/>
          <w:szCs w:val="20"/>
        </w:rPr>
      </w:pPr>
    </w:p>
    <w:p w:rsidR="00FB71FF" w:rsidRPr="00E255A7" w:rsidRDefault="00FB71FF" w:rsidP="00FB71FF">
      <w:pPr>
        <w:tabs>
          <w:tab w:val="left" w:pos="284"/>
        </w:tabs>
        <w:autoSpaceDE w:val="0"/>
        <w:autoSpaceDN w:val="0"/>
        <w:adjustRightInd w:val="0"/>
        <w:spacing w:line="260" w:lineRule="atLeast"/>
        <w:rPr>
          <w:rFonts w:cs="Arial"/>
          <w:b/>
          <w:bCs/>
          <w:sz w:val="20"/>
          <w:szCs w:val="20"/>
        </w:rPr>
      </w:pPr>
      <w:r w:rsidRPr="00E255A7">
        <w:rPr>
          <w:rFonts w:cs="Arial"/>
          <w:b/>
          <w:bCs/>
          <w:sz w:val="20"/>
          <w:szCs w:val="20"/>
        </w:rPr>
        <w:t xml:space="preserve">5. </w:t>
      </w:r>
      <w:r w:rsidRPr="00E255A7">
        <w:rPr>
          <w:rFonts w:cs="Arial"/>
          <w:b/>
          <w:bCs/>
          <w:sz w:val="20"/>
          <w:szCs w:val="20"/>
        </w:rPr>
        <w:tab/>
        <w:t xml:space="preserve">VPISOVANJE PODATKOV POD TOČKO 4 – PODATKI O PRIDOBITVI NEPREMIČNINE </w:t>
      </w: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  <w:highlight w:val="yellow"/>
        </w:rPr>
      </w:pP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 xml:space="preserve">Za vsak pridobljeni del nepremičnine, ki se </w:t>
      </w:r>
      <w:proofErr w:type="spellStart"/>
      <w:r w:rsidRPr="00E255A7">
        <w:rPr>
          <w:rFonts w:cs="Arial"/>
          <w:sz w:val="20"/>
          <w:szCs w:val="20"/>
        </w:rPr>
        <w:t>odsvaja</w:t>
      </w:r>
      <w:proofErr w:type="spellEnd"/>
      <w:r w:rsidRPr="00E255A7">
        <w:rPr>
          <w:rFonts w:cs="Arial"/>
          <w:sz w:val="20"/>
          <w:szCs w:val="20"/>
        </w:rPr>
        <w:t>, je potrebno vpisati naslednje podatke, kot jih zahteva napoved:</w:t>
      </w:r>
    </w:p>
    <w:p w:rsidR="00FB71FF" w:rsidRPr="00E255A7" w:rsidRDefault="00FB71FF" w:rsidP="00FB71FF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datum pridobitve v obliki (</w:t>
      </w:r>
      <w:proofErr w:type="spellStart"/>
      <w:r w:rsidRPr="00E255A7">
        <w:rPr>
          <w:rFonts w:cs="Arial"/>
          <w:sz w:val="20"/>
          <w:szCs w:val="20"/>
        </w:rPr>
        <w:t>dd.mm.LL</w:t>
      </w:r>
      <w:proofErr w:type="spellEnd"/>
      <w:r w:rsidRPr="00E255A7">
        <w:rPr>
          <w:rFonts w:cs="Arial"/>
          <w:sz w:val="20"/>
          <w:szCs w:val="20"/>
        </w:rPr>
        <w:t>);</w:t>
      </w:r>
    </w:p>
    <w:p w:rsidR="00FB71FF" w:rsidRPr="00E255A7" w:rsidRDefault="00FB71FF" w:rsidP="00FB71FF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delež pridobljene nepremičnine glede na lastniški delež ob odsvojitvi;</w:t>
      </w:r>
    </w:p>
    <w:p w:rsidR="00FB71FF" w:rsidRPr="00E255A7" w:rsidRDefault="00FB71FF" w:rsidP="00FB71FF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način pridobitve: zavezanec navede način pridobitve nepremičnine v obliki ustrezne številke iz Šifranta 2. Če nepremičnina ni bila pridobljena z nakupom, darilom, dedovanjem ali zamenjavo, zavezanec pod »drugo« vpiše vrsto pridobitve (</w:t>
      </w:r>
      <w:proofErr w:type="spellStart"/>
      <w:r w:rsidRPr="00E255A7">
        <w:rPr>
          <w:rFonts w:cs="Arial"/>
          <w:sz w:val="20"/>
          <w:szCs w:val="20"/>
        </w:rPr>
        <w:t>priposestvovanje</w:t>
      </w:r>
      <w:proofErr w:type="spellEnd"/>
      <w:r w:rsidRPr="00E255A7">
        <w:rPr>
          <w:rFonts w:cs="Arial"/>
          <w:sz w:val="20"/>
          <w:szCs w:val="20"/>
        </w:rPr>
        <w:t>, denacionalizacija, sodna ali upravna odločba ...);</w:t>
      </w:r>
    </w:p>
    <w:p w:rsidR="00FB71FF" w:rsidRPr="00E255A7" w:rsidRDefault="00FB71FF" w:rsidP="00FB71FF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nabavna vrednost nepremičnine: v eurih se vpiše znesek nabavne vrednosti nepremičnine;</w:t>
      </w:r>
    </w:p>
    <w:p w:rsidR="00FB71FF" w:rsidRPr="00E255A7" w:rsidRDefault="00FB71FF" w:rsidP="00FB71FF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znesek na nepremičnini opravljenih investicij in stroškov vzdrževanja, ki povečuje uporabno vrednost nepremičnine, če jih je plačal zavezanec;</w:t>
      </w:r>
    </w:p>
    <w:p w:rsidR="00FB71FF" w:rsidRPr="00E255A7" w:rsidRDefault="00FB71FF" w:rsidP="00FB71FF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znesek davka na dediščine in darila, ki ga je plačal zavezanec ob pridobitvi nepremičnine;</w:t>
      </w:r>
    </w:p>
    <w:p w:rsidR="00FB71FF" w:rsidRPr="00E255A7" w:rsidRDefault="00FB71FF" w:rsidP="00FB71FF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znesek davka na promet nepremičnin, ki ga je plačal zavezanec ob pridobitvi nepremičnine;</w:t>
      </w:r>
    </w:p>
    <w:p w:rsidR="00FB71FF" w:rsidRPr="00E255A7" w:rsidRDefault="00FB71FF" w:rsidP="00FB71FF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 xml:space="preserve">znesek stroškov, ki jih je plačal zavezanec v zvezi s cenitvijo pridobljene nepremičnine, ki jo je </w:t>
      </w:r>
    </w:p>
    <w:p w:rsidR="00FB71FF" w:rsidRPr="00E255A7" w:rsidRDefault="00FB71FF" w:rsidP="00FB71FF">
      <w:pPr>
        <w:pStyle w:val="Odstavekseznama"/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 xml:space="preserve">opravil pooblaščeni cenilec v skladu z obstoječo metodologijo, kadar je cenitev potrebna, ker se vrednost nepremičnine ne da ugotoviti na drug način. Stroški cenitve se priznajo v višini dejanskih stroškov, vendar ne več kot 188 eurov – ta znesek je skupen za vse dele nepremičnine, ki se sedaj </w:t>
      </w:r>
      <w:proofErr w:type="spellStart"/>
      <w:r w:rsidRPr="00E255A7">
        <w:rPr>
          <w:rFonts w:cs="Arial"/>
          <w:sz w:val="20"/>
          <w:szCs w:val="20"/>
        </w:rPr>
        <w:t>odsvaja</w:t>
      </w:r>
      <w:proofErr w:type="spellEnd"/>
      <w:r>
        <w:rPr>
          <w:rFonts w:cs="Arial"/>
          <w:sz w:val="20"/>
          <w:szCs w:val="20"/>
        </w:rPr>
        <w:t>.</w:t>
      </w: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ind w:left="567" w:hanging="567"/>
        <w:rPr>
          <w:rFonts w:cs="Arial"/>
          <w:sz w:val="20"/>
          <w:szCs w:val="20"/>
        </w:rPr>
      </w:pP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Nabavna vrednost nepremičnine in stroški v tuji valuti se preračunajo v eure po tečaju, ki ga objavlja Banka Slovenije. Preračun se opravi po tečaju, ki velja na dan pridobitve kapitala oziroma na dan nastanka stroškov.</w:t>
      </w: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rPr>
          <w:rFonts w:cs="Arial"/>
          <w:b/>
          <w:bCs/>
          <w:sz w:val="20"/>
          <w:szCs w:val="20"/>
        </w:rPr>
      </w:pPr>
    </w:p>
    <w:p w:rsidR="00FB71FF" w:rsidRPr="00E255A7" w:rsidRDefault="00FB71FF" w:rsidP="00FB71FF">
      <w:pPr>
        <w:tabs>
          <w:tab w:val="left" w:pos="284"/>
        </w:tabs>
        <w:autoSpaceDE w:val="0"/>
        <w:autoSpaceDN w:val="0"/>
        <w:adjustRightInd w:val="0"/>
        <w:spacing w:line="260" w:lineRule="atLeast"/>
        <w:rPr>
          <w:rFonts w:cs="Arial"/>
          <w:b/>
          <w:bCs/>
          <w:sz w:val="20"/>
          <w:szCs w:val="20"/>
        </w:rPr>
      </w:pPr>
      <w:r w:rsidRPr="00E255A7">
        <w:rPr>
          <w:rFonts w:cs="Arial"/>
          <w:b/>
          <w:bCs/>
          <w:sz w:val="20"/>
          <w:szCs w:val="20"/>
        </w:rPr>
        <w:t xml:space="preserve">6. </w:t>
      </w:r>
      <w:r w:rsidRPr="00E255A7">
        <w:rPr>
          <w:rFonts w:cs="Arial"/>
          <w:b/>
          <w:bCs/>
          <w:sz w:val="20"/>
          <w:szCs w:val="20"/>
        </w:rPr>
        <w:tab/>
        <w:t xml:space="preserve">VPISOVANJE PODATKOV POD TOČKO 5 – PODATKI O ODSVOJITVI NEPREMIČNINE </w:t>
      </w: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rPr>
          <w:rFonts w:cs="Arial"/>
          <w:b/>
          <w:bCs/>
          <w:sz w:val="20"/>
          <w:szCs w:val="20"/>
        </w:rPr>
      </w:pP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Za nepremičnino, ki je odsvojena, je potrebno vpisati naslednje podatke:</w:t>
      </w:r>
    </w:p>
    <w:p w:rsidR="00FB71FF" w:rsidRPr="00E255A7" w:rsidRDefault="00FB71FF" w:rsidP="00FB71F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60" w:lineRule="atLeast"/>
        <w:ind w:left="709" w:hanging="425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datum odsvojitve v obliki (</w:t>
      </w:r>
      <w:proofErr w:type="spellStart"/>
      <w:r w:rsidRPr="00E255A7">
        <w:rPr>
          <w:rFonts w:cs="Arial"/>
          <w:sz w:val="20"/>
          <w:szCs w:val="20"/>
        </w:rPr>
        <w:t>dd.mm.LL</w:t>
      </w:r>
      <w:proofErr w:type="spellEnd"/>
      <w:r w:rsidRPr="00E255A7">
        <w:rPr>
          <w:rFonts w:cs="Arial"/>
          <w:sz w:val="20"/>
          <w:szCs w:val="20"/>
        </w:rPr>
        <w:t>);</w:t>
      </w:r>
    </w:p>
    <w:p w:rsidR="00FB71FF" w:rsidRPr="00E255A7" w:rsidRDefault="00FB71FF" w:rsidP="00FB71F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60" w:lineRule="atLeast"/>
        <w:ind w:left="709" w:hanging="425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način odsvojitve; zavezanec označi način odsvojitve nepremičnine v obliki ustrezne številke iz Šifranta 2. Če nepremičnina ni bila odsvojena s prodajo, darovanjem ali z zamenjavo, zavezanec pod »drugo« vpiše vrsto odsvojitve;</w:t>
      </w:r>
    </w:p>
    <w:p w:rsidR="00FB71FF" w:rsidRPr="00E255A7" w:rsidRDefault="00FB71FF" w:rsidP="00FB71F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60" w:lineRule="atLeast"/>
        <w:ind w:left="709" w:hanging="425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znesek vrednosti nepremičnine ob odsvojitvi v eurih;</w:t>
      </w:r>
    </w:p>
    <w:p w:rsidR="00FB71FF" w:rsidRPr="00E255A7" w:rsidRDefault="00FB71FF" w:rsidP="00FB71F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60" w:lineRule="atLeast"/>
        <w:ind w:left="709" w:hanging="425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znesek davka na promet nepremičnin, ki ga je plačal zavezanec ob odsvojitvi nepremičnine;</w:t>
      </w:r>
    </w:p>
    <w:p w:rsidR="00FB71FF" w:rsidRPr="00E255A7" w:rsidRDefault="00FB71FF" w:rsidP="00FB71F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60" w:lineRule="atLeast"/>
        <w:ind w:left="709" w:hanging="425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znesek stroškov, ki jih je plačal zavezanec v zvezi s cenitvijo odsvojene nepremičnine, ki jo je opravil pooblaščeni cenilec v skladu z obstoječo metodologijo, kadar je cenitev potrebna, ker se vrednost nepremičnine ne da ugotoviti na drug način. Stroški cenitve se priznajo v višini dejanskih stroškov, vendar ne več kot 188 eurov</w:t>
      </w:r>
      <w:r>
        <w:rPr>
          <w:rFonts w:cs="Arial"/>
          <w:sz w:val="20"/>
          <w:szCs w:val="20"/>
        </w:rPr>
        <w:t>.</w:t>
      </w:r>
    </w:p>
    <w:p w:rsidR="00FB71FF" w:rsidRDefault="00FB71FF" w:rsidP="00FB71FF">
      <w:p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Vrednost nepremičnine ob odsvojitvi in stroški v tuji valuti se preračunajo v eure po tečaju, ki ga objavlja Banka Slovenije. Preračun se opravi po tečaju, ki velja na dan odsvojitve kapitala oziroma na dan nastanka stroškov.</w:t>
      </w: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ind w:left="720"/>
        <w:rPr>
          <w:rFonts w:cs="Arial"/>
          <w:b/>
          <w:bCs/>
          <w:sz w:val="20"/>
          <w:szCs w:val="20"/>
        </w:rPr>
      </w:pPr>
    </w:p>
    <w:p w:rsidR="00FB71FF" w:rsidRPr="00E255A7" w:rsidRDefault="00FB71FF" w:rsidP="00FB71FF">
      <w:pPr>
        <w:tabs>
          <w:tab w:val="left" w:pos="284"/>
        </w:tabs>
        <w:autoSpaceDE w:val="0"/>
        <w:autoSpaceDN w:val="0"/>
        <w:adjustRightInd w:val="0"/>
        <w:spacing w:line="260" w:lineRule="atLeast"/>
        <w:rPr>
          <w:rFonts w:cs="Arial"/>
          <w:b/>
          <w:bCs/>
          <w:sz w:val="20"/>
          <w:szCs w:val="20"/>
        </w:rPr>
      </w:pPr>
      <w:r w:rsidRPr="00E255A7">
        <w:rPr>
          <w:rFonts w:cs="Arial"/>
          <w:b/>
          <w:bCs/>
          <w:sz w:val="20"/>
          <w:szCs w:val="20"/>
        </w:rPr>
        <w:t xml:space="preserve">7. </w:t>
      </w:r>
      <w:r w:rsidRPr="00E255A7">
        <w:rPr>
          <w:rFonts w:cs="Arial"/>
          <w:b/>
          <w:bCs/>
          <w:sz w:val="20"/>
          <w:szCs w:val="20"/>
        </w:rPr>
        <w:tab/>
        <w:t xml:space="preserve">VPISOVANJE PODATKOV POD TOČKO 6 – OPROSTITEV PLAČILA DOHODNINE OD DOBIČKA IZ KAPITALA, DOSEŽENEGA PRI ODSVOJITVI STANOVANJA ALI STANOVANJSKE HIŠE NA PODLAGI 2. TOČKE DRUGEGA ODSTAVKA 96. ČLENA ZAKONA O DOHODNINI (ZDoh-2) </w:t>
      </w: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 xml:space="preserve">V skladu z 2. točko drugega odstavka 96. člena ZDoh-2 se dohodnine ne plača od dobička iz kapitala, doseženega pri odsvojitvi stanovanja ali stanovanjske hiše - ki ima največ dve stanovanji, s pripadajočim zemljiščem - v kateri je imel zavezanec prijavljeno stalno prebivališče in jo je imel v lasti ter je tam dejansko bival vsaj zadnja tri leta pred odsvojitvijo; če je zavezanec stanovanje ali stanovanjsko hišo uporabljal v zvezi z opravljanjem dejavnosti ali jo je oddajal v najem, se za odsvojitev kapitala po tej točki ne šteje odsvojitev tistega dela stanovanja ali stanovanjske hiše, ki jo je zavezanec uporabljal v zvezi z opravljanjem dejavnosti (pod pogojem, da je stanovanje ali stanovanjska hiša oziroma njun del v poslovnih knjigah prikazano kot sredstvo za potrebe dejavnosti) ali jo je oddajal v najem. </w:t>
      </w: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V čas prijavljenega stalnega prebivališča se pri državljanu države članice EU oziroma EGP, ki ni Slovenija, šteje tudi čas prijavljenega začasnega prebivališča v stanovanju ali stanovanjski hiši.</w:t>
      </w: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ind w:left="426" w:hanging="426"/>
        <w:rPr>
          <w:rFonts w:cs="Arial"/>
          <w:sz w:val="20"/>
          <w:szCs w:val="20"/>
        </w:rPr>
      </w:pP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Davčni zavezanec označi ali uveljavlja navedeno oprostitev. Če zavezanec označi »ne«, ne izpolnjuje ostalih rubrik pod to točko obrazca.</w:t>
      </w: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ind w:left="426"/>
        <w:rPr>
          <w:rFonts w:cs="Arial"/>
          <w:sz w:val="20"/>
          <w:szCs w:val="20"/>
        </w:rPr>
      </w:pP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 xml:space="preserve">Če zavezanec uveljavlja oprostitev, označi </w:t>
      </w:r>
      <w:r w:rsidRPr="00E255A7">
        <w:rPr>
          <w:rFonts w:cs="Arial"/>
          <w:i/>
          <w:sz w:val="20"/>
          <w:szCs w:val="20"/>
        </w:rPr>
        <w:t>»da«</w:t>
      </w:r>
      <w:r w:rsidRPr="00E255A7">
        <w:rPr>
          <w:rFonts w:cs="Arial"/>
          <w:sz w:val="20"/>
          <w:szCs w:val="20"/>
        </w:rPr>
        <w:t>. V tem primeru zavezanec ustrezno označi ali uveljavlja oprostitev za stanovanje ali stanovanjsko hišo »</w:t>
      </w:r>
      <w:r w:rsidRPr="00E255A7">
        <w:rPr>
          <w:rFonts w:cs="Arial"/>
          <w:i/>
          <w:sz w:val="20"/>
          <w:szCs w:val="20"/>
        </w:rPr>
        <w:t>v celoti«</w:t>
      </w:r>
      <w:r w:rsidRPr="00E255A7">
        <w:rPr>
          <w:rFonts w:cs="Arial"/>
          <w:sz w:val="20"/>
          <w:szCs w:val="20"/>
        </w:rPr>
        <w:t xml:space="preserve"> ali »</w:t>
      </w:r>
      <w:r w:rsidRPr="00E255A7">
        <w:rPr>
          <w:rFonts w:cs="Arial"/>
          <w:i/>
          <w:sz w:val="20"/>
          <w:szCs w:val="20"/>
        </w:rPr>
        <w:t>v delu«</w:t>
      </w:r>
      <w:r w:rsidRPr="00E255A7">
        <w:rPr>
          <w:rFonts w:cs="Arial"/>
          <w:sz w:val="20"/>
          <w:szCs w:val="20"/>
        </w:rPr>
        <w:t xml:space="preserve"> (ki ga ni uporabljal v zvezi z opravljanjem dejavnosti ali ga oddajal v najem) ter vpiše v katerem delu (vrsta: nadstropje, soba, garaža, kletni prostor ... in površina: v m2).</w:t>
      </w:r>
    </w:p>
    <w:p w:rsidR="00FB71FF" w:rsidRDefault="00FB71FF" w:rsidP="00FB71FF">
      <w:pPr>
        <w:autoSpaceDE w:val="0"/>
        <w:autoSpaceDN w:val="0"/>
        <w:adjustRightInd w:val="0"/>
        <w:spacing w:line="260" w:lineRule="atLeast"/>
        <w:ind w:left="426" w:hanging="426"/>
        <w:rPr>
          <w:rFonts w:cs="Arial"/>
          <w:b/>
          <w:bCs/>
          <w:sz w:val="20"/>
          <w:szCs w:val="20"/>
        </w:rPr>
      </w:pPr>
    </w:p>
    <w:p w:rsidR="00FB71FF" w:rsidRPr="00E255A7" w:rsidRDefault="00FB71FF" w:rsidP="00FB71FF">
      <w:pPr>
        <w:tabs>
          <w:tab w:val="left" w:pos="284"/>
        </w:tabs>
        <w:autoSpaceDE w:val="0"/>
        <w:autoSpaceDN w:val="0"/>
        <w:adjustRightInd w:val="0"/>
        <w:spacing w:line="260" w:lineRule="atLeast"/>
        <w:rPr>
          <w:rFonts w:cs="Arial"/>
          <w:b/>
          <w:bCs/>
          <w:sz w:val="20"/>
          <w:szCs w:val="20"/>
        </w:rPr>
      </w:pPr>
      <w:r w:rsidRPr="00E255A7">
        <w:rPr>
          <w:rFonts w:cs="Arial"/>
          <w:b/>
          <w:bCs/>
          <w:sz w:val="20"/>
          <w:szCs w:val="20"/>
        </w:rPr>
        <w:t xml:space="preserve">8. </w:t>
      </w:r>
      <w:r w:rsidRPr="00E255A7">
        <w:rPr>
          <w:rFonts w:cs="Arial"/>
          <w:b/>
          <w:bCs/>
          <w:sz w:val="20"/>
          <w:szCs w:val="20"/>
        </w:rPr>
        <w:tab/>
        <w:t xml:space="preserve">VPISOVANJE PODATKOV POD TOČKO 7 – UVELJAVLJANJE ODBITKA DAVKA, PLAČANEGA V TUJINI </w:t>
      </w: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</w:p>
    <w:p w:rsidR="00FB71FF" w:rsidRPr="00E255A7" w:rsidRDefault="00FB71FF" w:rsidP="00FB71FF">
      <w:p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 xml:space="preserve">Če je bil od odsvojitve nepremičnine v tujini plačan davek, se vpiše znesek tujega davka v eurih, zaokroženo na dve decimalni mesti. Znesek tujega davka v tuji valuti se preračuna v eure po tečaju, ki </w:t>
      </w:r>
      <w:r w:rsidRPr="00E255A7">
        <w:rPr>
          <w:rFonts w:cs="Arial"/>
          <w:sz w:val="20"/>
          <w:szCs w:val="20"/>
        </w:rPr>
        <w:lastRenderedPageBreak/>
        <w:t>ga objavlja Banka Slovenije, na dan pridobitve nepremičnine. Kadar davčni zavezanec uveljavlja odbitek davka, plačanega v tujini, so sestavni del napovedi tudi ustrezna dokazila glede davčne obveznosti izven Slovenije, zlasti o znesku davka, plačanega v tujini, o osnovi za plačilo davka in o tem, da je znesek davka, plačan v tujini, dokončen in dejansko plačan.</w:t>
      </w:r>
    </w:p>
    <w:p w:rsidR="00FB71FF" w:rsidRPr="00C00671" w:rsidRDefault="00FB71FF" w:rsidP="00FB71FF">
      <w:pPr>
        <w:spacing w:line="260" w:lineRule="atLeast"/>
        <w:rPr>
          <w:rFonts w:cs="Arial"/>
          <w:sz w:val="20"/>
          <w:szCs w:val="20"/>
          <w:lang w:val="sr-Latn-CS"/>
        </w:rPr>
      </w:pPr>
    </w:p>
    <w:p w:rsidR="00FB71FF" w:rsidRPr="00E255A7" w:rsidRDefault="00FB71FF" w:rsidP="00FB71FF">
      <w:pPr>
        <w:tabs>
          <w:tab w:val="left" w:pos="284"/>
        </w:tabs>
        <w:spacing w:line="260" w:lineRule="atLeast"/>
        <w:rPr>
          <w:rFonts w:cs="Arial"/>
          <w:b/>
          <w:sz w:val="20"/>
          <w:szCs w:val="20"/>
          <w:lang w:val="sr-Latn-CS"/>
        </w:rPr>
      </w:pPr>
      <w:r w:rsidRPr="00E255A7">
        <w:rPr>
          <w:rFonts w:cs="Arial"/>
          <w:b/>
          <w:sz w:val="20"/>
          <w:szCs w:val="20"/>
          <w:lang w:val="sr-Latn-CS"/>
        </w:rPr>
        <w:t xml:space="preserve">9. </w:t>
      </w:r>
      <w:r w:rsidRPr="00E255A7">
        <w:rPr>
          <w:rFonts w:cs="Arial"/>
          <w:b/>
          <w:sz w:val="20"/>
          <w:szCs w:val="20"/>
          <w:lang w:val="sr-Latn-CS"/>
        </w:rPr>
        <w:tab/>
        <w:t>VPISOVANJE PODATKOV POD TOČKO 8 – PRILOGE IN OPOMBE</w:t>
      </w:r>
    </w:p>
    <w:p w:rsidR="00FB71FF" w:rsidRPr="00E255A7" w:rsidRDefault="00FB71FF" w:rsidP="00FB71FF">
      <w:pPr>
        <w:spacing w:line="260" w:lineRule="atLeast"/>
        <w:rPr>
          <w:rFonts w:cs="Arial"/>
          <w:b/>
          <w:sz w:val="20"/>
          <w:szCs w:val="20"/>
          <w:lang w:val="sr-Latn-CS"/>
        </w:rPr>
      </w:pPr>
    </w:p>
    <w:p w:rsidR="00FB71FF" w:rsidRPr="00E255A7" w:rsidRDefault="000F1D50" w:rsidP="00FB71FF">
      <w:pPr>
        <w:spacing w:line="260" w:lineRule="atLeast"/>
        <w:rPr>
          <w:rFonts w:cs="Arial"/>
          <w:sz w:val="20"/>
          <w:szCs w:val="20"/>
          <w:lang w:val="sr-Latn-CS"/>
        </w:rPr>
      </w:pPr>
      <w:r>
        <w:rPr>
          <w:rFonts w:cs="Arial"/>
          <w:sz w:val="20"/>
          <w:szCs w:val="20"/>
          <w:lang w:val="sr-Latn-CS"/>
        </w:rPr>
        <w:t>Zavezanec priloži napov</w:t>
      </w:r>
      <w:r w:rsidR="00FB71FF" w:rsidRPr="00E255A7">
        <w:rPr>
          <w:rFonts w:cs="Arial"/>
          <w:sz w:val="20"/>
          <w:szCs w:val="20"/>
          <w:lang w:val="sr-Latn-CS"/>
        </w:rPr>
        <w:t>edi dokazila, ki so podlaga za odmero dohodnine od dobička iz kapitala pri odsvojitvi nepremičnine (računi za investicije, stroški v zvezi s cenitvijo,...)</w:t>
      </w:r>
      <w:r w:rsidR="00FB71FF">
        <w:rPr>
          <w:rFonts w:cs="Arial"/>
          <w:sz w:val="20"/>
          <w:szCs w:val="20"/>
          <w:lang w:val="sr-Latn-CS"/>
        </w:rPr>
        <w:t xml:space="preserve"> </w:t>
      </w:r>
      <w:r w:rsidR="00FB71FF" w:rsidRPr="005647A1">
        <w:rPr>
          <w:rFonts w:cs="Arial"/>
          <w:sz w:val="20"/>
          <w:szCs w:val="20"/>
          <w:lang w:val="sr-Latn-CS"/>
        </w:rPr>
        <w:t>ter vpiše morebitne opombe.</w:t>
      </w:r>
    </w:p>
    <w:p w:rsidR="00FB71FF" w:rsidRPr="00C00671" w:rsidRDefault="00FB71FF" w:rsidP="00FB71FF">
      <w:pPr>
        <w:pStyle w:val="Telobesedila"/>
        <w:spacing w:line="260" w:lineRule="atLeast"/>
        <w:rPr>
          <w:rFonts w:cs="Arial"/>
          <w:sz w:val="20"/>
          <w:szCs w:val="20"/>
        </w:rPr>
      </w:pPr>
    </w:p>
    <w:p w:rsidR="00FB71FF" w:rsidRPr="00565617" w:rsidRDefault="00FB71FF" w:rsidP="00FB71FF">
      <w:pPr>
        <w:pStyle w:val="Telobesedila"/>
        <w:spacing w:line="26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10. </w:t>
      </w:r>
      <w:r w:rsidRPr="00565617">
        <w:rPr>
          <w:rFonts w:cs="Arial"/>
          <w:sz w:val="20"/>
          <w:szCs w:val="20"/>
        </w:rPr>
        <w:t>DODATNI LIST št…..k Napovedi za odmero dohodnine od dobička iz kapitala pri odsvojitvi nepremičnine</w:t>
      </w:r>
    </w:p>
    <w:p w:rsidR="00FB71FF" w:rsidRPr="00286431" w:rsidRDefault="00FB71FF" w:rsidP="00FB71FF">
      <w:pPr>
        <w:pStyle w:val="Telobesedila"/>
        <w:spacing w:line="260" w:lineRule="atLeast"/>
        <w:rPr>
          <w:rFonts w:cs="Arial"/>
          <w:sz w:val="20"/>
          <w:szCs w:val="20"/>
        </w:rPr>
      </w:pPr>
    </w:p>
    <w:p w:rsidR="00FB71FF" w:rsidRPr="00565617" w:rsidRDefault="00FB71FF" w:rsidP="00FB71FF">
      <w:pPr>
        <w:pStyle w:val="Telobesedila"/>
        <w:spacing w:line="260" w:lineRule="atLeast"/>
        <w:rPr>
          <w:rFonts w:cs="Arial"/>
          <w:b w:val="0"/>
          <w:sz w:val="20"/>
          <w:szCs w:val="20"/>
        </w:rPr>
      </w:pPr>
      <w:r w:rsidRPr="00EA72D1">
        <w:rPr>
          <w:rFonts w:cs="Arial"/>
          <w:b w:val="0"/>
          <w:sz w:val="20"/>
          <w:szCs w:val="20"/>
        </w:rPr>
        <w:t xml:space="preserve">K napovedi je dodan »Dodatni list«, ki se izpolni v primeru, če se z eno pogodbo </w:t>
      </w:r>
      <w:proofErr w:type="spellStart"/>
      <w:r w:rsidRPr="00EA72D1">
        <w:rPr>
          <w:rFonts w:cs="Arial"/>
          <w:b w:val="0"/>
          <w:sz w:val="20"/>
          <w:szCs w:val="20"/>
        </w:rPr>
        <w:t>odsvaja</w:t>
      </w:r>
      <w:proofErr w:type="spellEnd"/>
      <w:r w:rsidRPr="00EA72D1">
        <w:rPr>
          <w:rFonts w:cs="Arial"/>
          <w:b w:val="0"/>
          <w:sz w:val="20"/>
          <w:szCs w:val="20"/>
        </w:rPr>
        <w:t xml:space="preserve"> več nepremičnin istočasno. Pri izpolnjevanju dodatnega lista se upoštevajo navodila za vpisovanje podatkov pod točko 3 in </w:t>
      </w:r>
      <w:r>
        <w:rPr>
          <w:rFonts w:cs="Arial"/>
          <w:b w:val="0"/>
          <w:sz w:val="20"/>
          <w:szCs w:val="20"/>
        </w:rPr>
        <w:t xml:space="preserve">točko </w:t>
      </w:r>
      <w:r w:rsidRPr="00565617">
        <w:rPr>
          <w:rFonts w:cs="Arial"/>
          <w:b w:val="0"/>
          <w:sz w:val="20"/>
          <w:szCs w:val="20"/>
        </w:rPr>
        <w:t>4 obrazca.</w:t>
      </w:r>
    </w:p>
    <w:p w:rsidR="00FB71FF" w:rsidRDefault="00FB71FF" w:rsidP="00FB71FF">
      <w:pPr>
        <w:jc w:val="center"/>
        <w:rPr>
          <w:rFonts w:cs="Arial"/>
          <w:szCs w:val="26"/>
          <w:highlight w:val="yellow"/>
          <w:lang w:val="sr-Latn-CS"/>
        </w:rPr>
      </w:pPr>
    </w:p>
    <w:p w:rsidR="00FB71FF" w:rsidRDefault="00FB71FF" w:rsidP="00FB71FF">
      <w:pPr>
        <w:pStyle w:val="Telobesedila"/>
        <w:spacing w:line="260" w:lineRule="atLeast"/>
        <w:rPr>
          <w:rFonts w:ascii="Calibri" w:hAnsi="Calibri"/>
        </w:rPr>
      </w:pPr>
    </w:p>
    <w:p w:rsidR="00FB71FF" w:rsidRDefault="00FB71FF" w:rsidP="00FB71FF">
      <w:pPr>
        <w:pStyle w:val="Telobesedila"/>
        <w:spacing w:line="260" w:lineRule="atLeast"/>
        <w:rPr>
          <w:rFonts w:ascii="Calibri" w:hAnsi="Calibri"/>
        </w:rPr>
      </w:pPr>
    </w:p>
    <w:p w:rsidR="00FB71FF" w:rsidRPr="00BA32FF" w:rsidRDefault="00FB71FF" w:rsidP="00FB71FF">
      <w:pPr>
        <w:pStyle w:val="Telobesedila"/>
        <w:spacing w:line="260" w:lineRule="atLeast"/>
        <w:rPr>
          <w:rFonts w:cs="Arial"/>
          <w:i/>
          <w:sz w:val="20"/>
          <w:szCs w:val="20"/>
          <w:lang w:eastAsia="sl-SI"/>
        </w:rPr>
      </w:pPr>
      <w:r w:rsidRPr="00BA32FF">
        <w:rPr>
          <w:rFonts w:cs="Arial"/>
          <w:i/>
          <w:sz w:val="20"/>
          <w:szCs w:val="20"/>
        </w:rPr>
        <w:t>Dodatne informacije so na voljo na spletni strani Finančne Uprave RS</w:t>
      </w:r>
      <w:r w:rsidRPr="00BA32FF">
        <w:rPr>
          <w:rFonts w:cs="Arial"/>
          <w:i/>
          <w:color w:val="1F497D"/>
          <w:sz w:val="20"/>
          <w:szCs w:val="20"/>
        </w:rPr>
        <w:t xml:space="preserve"> </w:t>
      </w:r>
      <w:r w:rsidRPr="00BA32FF">
        <w:rPr>
          <w:rFonts w:cs="Arial"/>
          <w:i/>
          <w:sz w:val="20"/>
          <w:szCs w:val="20"/>
        </w:rPr>
        <w:t>ali na telefonski številki klicnega centra za davke fizičnih oseb: 08 200 1001.</w:t>
      </w:r>
    </w:p>
    <w:p w:rsidR="00FB71FF" w:rsidRPr="00016152" w:rsidRDefault="00FB71FF" w:rsidP="00FB71FF">
      <w:pPr>
        <w:autoSpaceDE w:val="0"/>
        <w:autoSpaceDN w:val="0"/>
        <w:adjustRightInd w:val="0"/>
        <w:spacing w:line="260" w:lineRule="atLeast"/>
        <w:rPr>
          <w:rFonts w:cs="Arial"/>
          <w:i/>
          <w:sz w:val="20"/>
          <w:szCs w:val="20"/>
        </w:rPr>
      </w:pPr>
    </w:p>
    <w:p w:rsidR="00FB71FF" w:rsidRDefault="00FB71FF" w:rsidP="00FB71FF">
      <w:p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</w:p>
    <w:p w:rsidR="00A13336" w:rsidRDefault="00A13336"/>
    <w:sectPr w:rsidR="00A133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E09" w:rsidRDefault="00A73E09" w:rsidP="00473AFD">
      <w:r>
        <w:separator/>
      </w:r>
    </w:p>
  </w:endnote>
  <w:endnote w:type="continuationSeparator" w:id="0">
    <w:p w:rsidR="00A73E09" w:rsidRDefault="00A73E09" w:rsidP="0047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FD" w:rsidRPr="00643EE6" w:rsidRDefault="00473AFD" w:rsidP="00473AFD">
    <w:pPr>
      <w:spacing w:after="160" w:line="259" w:lineRule="auto"/>
      <w:jc w:val="left"/>
      <w:rPr>
        <w:sz w:val="18"/>
        <w:szCs w:val="18"/>
      </w:rPr>
    </w:pPr>
    <w:r w:rsidRPr="00643EE6">
      <w:rPr>
        <w:sz w:val="18"/>
        <w:szCs w:val="18"/>
      </w:rPr>
      <w:t xml:space="preserve">MF-FURS </w:t>
    </w:r>
    <w:proofErr w:type="spellStart"/>
    <w:r w:rsidRPr="00643EE6">
      <w:rPr>
        <w:sz w:val="18"/>
        <w:szCs w:val="18"/>
      </w:rPr>
      <w:t>obr</w:t>
    </w:r>
    <w:proofErr w:type="spellEnd"/>
    <w:r w:rsidRPr="00643EE6">
      <w:rPr>
        <w:sz w:val="18"/>
        <w:szCs w:val="18"/>
      </w:rPr>
      <w:t xml:space="preserve">. DOHKAP št. 5 </w:t>
    </w:r>
  </w:p>
  <w:p w:rsidR="00473AFD" w:rsidRDefault="00473AF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E09" w:rsidRDefault="00A73E09" w:rsidP="00473AFD">
      <w:r>
        <w:separator/>
      </w:r>
    </w:p>
  </w:footnote>
  <w:footnote w:type="continuationSeparator" w:id="0">
    <w:p w:rsidR="00A73E09" w:rsidRDefault="00A73E09" w:rsidP="0047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7049"/>
    <w:multiLevelType w:val="hybridMultilevel"/>
    <w:tmpl w:val="CA246A54"/>
    <w:lvl w:ilvl="0" w:tplc="42FAEB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A5B1C"/>
    <w:multiLevelType w:val="hybridMultilevel"/>
    <w:tmpl w:val="A6B86C0E"/>
    <w:lvl w:ilvl="0" w:tplc="6D640E0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93026A3"/>
    <w:multiLevelType w:val="hybridMultilevel"/>
    <w:tmpl w:val="D23CDD96"/>
    <w:lvl w:ilvl="0" w:tplc="42FAEB3C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1TCPtjpiFV8juicgTEu2lOmyfo0bchyqfYvMoGP/7ON/SJDp76Gpn9dKulHMn1GLNXeKAM7z+XZ/JMfZTDEgUg==" w:salt="I8cGc/NUO4MoY2Fd8JDV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1FF"/>
    <w:rsid w:val="00041A34"/>
    <w:rsid w:val="000F1D50"/>
    <w:rsid w:val="002B2DF7"/>
    <w:rsid w:val="00377023"/>
    <w:rsid w:val="003E37AB"/>
    <w:rsid w:val="00473AFD"/>
    <w:rsid w:val="005E2A98"/>
    <w:rsid w:val="0063586B"/>
    <w:rsid w:val="00A13336"/>
    <w:rsid w:val="00A73E09"/>
    <w:rsid w:val="00B92847"/>
    <w:rsid w:val="00D47B63"/>
    <w:rsid w:val="00F824E7"/>
    <w:rsid w:val="00F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71FF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FB71FF"/>
    <w:rPr>
      <w:b/>
      <w:bCs/>
      <w:sz w:val="24"/>
    </w:rPr>
  </w:style>
  <w:style w:type="character" w:customStyle="1" w:styleId="TelobesedilaZnak">
    <w:name w:val="Telo besedila Znak"/>
    <w:basedOn w:val="Privzetapisavaodstavka"/>
    <w:link w:val="Telobesedila"/>
    <w:rsid w:val="00FB71FF"/>
    <w:rPr>
      <w:rFonts w:ascii="Arial" w:eastAsia="Times New Roman" w:hAnsi="Arial" w:cs="Times New Roman"/>
      <w:b/>
      <w:bCs/>
      <w:sz w:val="24"/>
      <w:szCs w:val="24"/>
    </w:rPr>
  </w:style>
  <w:style w:type="character" w:styleId="Hiperpovezava">
    <w:name w:val="Hyperlink"/>
    <w:uiPriority w:val="99"/>
    <w:unhideWhenUsed/>
    <w:rsid w:val="00FB71F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B71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73A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73AFD"/>
    <w:rPr>
      <w:rFonts w:ascii="Arial" w:eastAsia="Times New Roman" w:hAnsi="Arial" w:cs="Times New Roman"/>
      <w:szCs w:val="24"/>
    </w:rPr>
  </w:style>
  <w:style w:type="paragraph" w:styleId="Noga">
    <w:name w:val="footer"/>
    <w:basedOn w:val="Navaden"/>
    <w:link w:val="NogaZnak"/>
    <w:uiPriority w:val="99"/>
    <w:unhideWhenUsed/>
    <w:rsid w:val="00473A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73AFD"/>
    <w:rPr>
      <w:rFonts w:ascii="Arial" w:eastAsia="Times New Roman" w:hAnsi="Arial" w:cs="Times New Roman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284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28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47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A51ADA-6C45-4BF0-BE36-CA99B396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1666</Words>
  <Characters>9501</Characters>
  <Application>Microsoft Office Word</Application>
  <DocSecurity>8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2022-05-10T07:33:00Z</dcterms:created>
  <dcterms:modified xsi:type="dcterms:W3CDTF">2022-05-10T07:33:00Z</dcterms:modified>
</cp:coreProperties>
</file>