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1318" w14:textId="77777777" w:rsidR="005253A9" w:rsidRDefault="005253A9" w:rsidP="005253A9">
      <w:pPr>
        <w:pStyle w:val="Telobesedila"/>
        <w:rPr>
          <w:sz w:val="22"/>
          <w:szCs w:val="22"/>
        </w:rPr>
      </w:pPr>
      <w:r>
        <w:rPr>
          <w:sz w:val="22"/>
          <w:szCs w:val="22"/>
        </w:rPr>
        <w:t>NAVODILO ZA IZPOLNJEVANJE OBVESTILA O VRAČILU TUJEGA DAVKA IMETNIKU INDIVIDUALNEGA NALOŽBENEGA RAČUNA PO 329.C ČLENU ZDAVP-2</w:t>
      </w:r>
    </w:p>
    <w:p w14:paraId="52F05F67" w14:textId="77777777" w:rsidR="005253A9" w:rsidRDefault="005253A9" w:rsidP="005253A9">
      <w:pPr>
        <w:pStyle w:val="Telobesedila"/>
        <w:rPr>
          <w:sz w:val="22"/>
          <w:szCs w:val="22"/>
        </w:rPr>
      </w:pPr>
    </w:p>
    <w:p w14:paraId="6A88CA88" w14:textId="77777777" w:rsidR="005253A9" w:rsidRDefault="005253A9" w:rsidP="005253A9">
      <w:pPr>
        <w:pStyle w:val="Telobesedila"/>
        <w:rPr>
          <w:sz w:val="22"/>
          <w:szCs w:val="22"/>
        </w:rPr>
      </w:pPr>
    </w:p>
    <w:p w14:paraId="1CCEB4A0" w14:textId="77777777" w:rsidR="005253A9" w:rsidRPr="00816E17" w:rsidRDefault="005253A9" w:rsidP="005253A9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816E17">
        <w:rPr>
          <w:sz w:val="22"/>
          <w:szCs w:val="22"/>
        </w:rPr>
        <w:t>UVOD</w:t>
      </w:r>
    </w:p>
    <w:p w14:paraId="40F42336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70F79439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Individualni naložbeni račun (v nadaljevanju: INR) je račun, ki sredstvom INR (</w:t>
      </w:r>
      <w:r w:rsidRPr="00307772">
        <w:rPr>
          <w:b w:val="0"/>
          <w:bCs w:val="0"/>
          <w:sz w:val="22"/>
          <w:szCs w:val="22"/>
        </w:rPr>
        <w:t>denarna sredstva, finančni instrumenti in pravice, ki se vodijo na INR</w:t>
      </w:r>
      <w:r>
        <w:rPr>
          <w:b w:val="0"/>
          <w:bCs w:val="0"/>
          <w:sz w:val="22"/>
          <w:szCs w:val="22"/>
        </w:rPr>
        <w:t>) zagotavlja posebno davčno obravnavo. Zaradi zagotavljanja pravilne davčne obravnave se morajo tako v</w:t>
      </w:r>
      <w:r w:rsidRPr="00307772">
        <w:rPr>
          <w:b w:val="0"/>
          <w:bCs w:val="0"/>
          <w:sz w:val="22"/>
          <w:szCs w:val="22"/>
        </w:rPr>
        <w:t xml:space="preserve">plačila imetnika </w:t>
      </w:r>
      <w:r>
        <w:rPr>
          <w:b w:val="0"/>
          <w:bCs w:val="0"/>
          <w:sz w:val="22"/>
          <w:szCs w:val="22"/>
        </w:rPr>
        <w:t xml:space="preserve">na </w:t>
      </w:r>
      <w:r w:rsidRPr="00307772">
        <w:rPr>
          <w:b w:val="0"/>
          <w:bCs w:val="0"/>
          <w:sz w:val="22"/>
          <w:szCs w:val="22"/>
        </w:rPr>
        <w:t xml:space="preserve">INR </w:t>
      </w:r>
      <w:r>
        <w:rPr>
          <w:b w:val="0"/>
          <w:bCs w:val="0"/>
          <w:sz w:val="22"/>
          <w:szCs w:val="22"/>
        </w:rPr>
        <w:t>kot tudi</w:t>
      </w:r>
      <w:r w:rsidRPr="00307772">
        <w:rPr>
          <w:b w:val="0"/>
          <w:bCs w:val="0"/>
          <w:sz w:val="22"/>
          <w:szCs w:val="22"/>
        </w:rPr>
        <w:t xml:space="preserve"> vsi prilivi denarnih in nedenarnih sredstev na INR iz poslovanja s sredstvi INR, vključno z vračili preveč plačanega tujega davka z virom zunaj Republike Slovenije, takoj vknjiži</w:t>
      </w:r>
      <w:r>
        <w:rPr>
          <w:b w:val="0"/>
          <w:bCs w:val="0"/>
          <w:sz w:val="22"/>
          <w:szCs w:val="22"/>
        </w:rPr>
        <w:t>ti</w:t>
      </w:r>
      <w:r w:rsidRPr="00307772">
        <w:rPr>
          <w:b w:val="0"/>
          <w:bCs w:val="0"/>
          <w:sz w:val="22"/>
          <w:szCs w:val="22"/>
        </w:rPr>
        <w:t xml:space="preserve"> v evidenco imetnikovega INR</w:t>
      </w:r>
      <w:r>
        <w:rPr>
          <w:b w:val="0"/>
          <w:bCs w:val="0"/>
          <w:sz w:val="22"/>
          <w:szCs w:val="22"/>
        </w:rPr>
        <w:t xml:space="preserve">. </w:t>
      </w:r>
    </w:p>
    <w:p w14:paraId="64FE4518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09AD8343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Kadar je t</w:t>
      </w:r>
      <w:r w:rsidRPr="00307772">
        <w:rPr>
          <w:b w:val="0"/>
          <w:bCs w:val="0"/>
          <w:sz w:val="22"/>
          <w:szCs w:val="22"/>
        </w:rPr>
        <w:t>uj</w:t>
      </w:r>
      <w:r>
        <w:rPr>
          <w:b w:val="0"/>
          <w:bCs w:val="0"/>
          <w:sz w:val="22"/>
          <w:szCs w:val="22"/>
        </w:rPr>
        <w:t>i</w:t>
      </w:r>
      <w:r w:rsidRPr="00307772">
        <w:rPr>
          <w:b w:val="0"/>
          <w:bCs w:val="0"/>
          <w:sz w:val="22"/>
          <w:szCs w:val="22"/>
        </w:rPr>
        <w:t xml:space="preserve"> davek od dohodka, doseženega na podlagi sredstev INR</w:t>
      </w:r>
      <w:r>
        <w:rPr>
          <w:b w:val="0"/>
          <w:bCs w:val="0"/>
          <w:sz w:val="22"/>
          <w:szCs w:val="22"/>
        </w:rPr>
        <w:t xml:space="preserve"> </w:t>
      </w:r>
      <w:r w:rsidRPr="00307772">
        <w:rPr>
          <w:b w:val="0"/>
          <w:bCs w:val="0"/>
          <w:sz w:val="22"/>
          <w:szCs w:val="22"/>
        </w:rPr>
        <w:t xml:space="preserve">(npr. od dividend in obresti, doseženih iz finančnih instrumentov na INR), vrnjen </w:t>
      </w:r>
      <w:r>
        <w:rPr>
          <w:b w:val="0"/>
          <w:bCs w:val="0"/>
          <w:sz w:val="22"/>
          <w:szCs w:val="22"/>
        </w:rPr>
        <w:t>imetniku INR</w:t>
      </w:r>
      <w:r w:rsidRPr="00307772">
        <w:rPr>
          <w:b w:val="0"/>
          <w:bCs w:val="0"/>
          <w:sz w:val="22"/>
          <w:szCs w:val="22"/>
        </w:rPr>
        <w:t>, a ne na</w:t>
      </w:r>
      <w:r>
        <w:rPr>
          <w:b w:val="0"/>
          <w:bCs w:val="0"/>
          <w:sz w:val="22"/>
          <w:szCs w:val="22"/>
        </w:rPr>
        <w:t xml:space="preserve"> njegov</w:t>
      </w:r>
      <w:r w:rsidRPr="00307772">
        <w:rPr>
          <w:b w:val="0"/>
          <w:bCs w:val="0"/>
          <w:sz w:val="22"/>
          <w:szCs w:val="22"/>
        </w:rPr>
        <w:t xml:space="preserve"> INR</w:t>
      </w:r>
      <w:r>
        <w:rPr>
          <w:b w:val="0"/>
          <w:bCs w:val="0"/>
          <w:sz w:val="22"/>
          <w:szCs w:val="22"/>
        </w:rPr>
        <w:t xml:space="preserve">, temveč njemu neposredno, </w:t>
      </w:r>
      <w:r w:rsidRPr="00333B30">
        <w:rPr>
          <w:b w:val="0"/>
          <w:bCs w:val="0"/>
          <w:sz w:val="22"/>
          <w:szCs w:val="22"/>
        </w:rPr>
        <w:t>mora imetnik INR</w:t>
      </w:r>
      <w:r>
        <w:rPr>
          <w:b w:val="0"/>
          <w:bCs w:val="0"/>
          <w:sz w:val="22"/>
          <w:szCs w:val="22"/>
        </w:rPr>
        <w:t xml:space="preserve"> v skladu s 329.c členom </w:t>
      </w:r>
      <w:hyperlink r:id="rId5" w:history="1">
        <w:r w:rsidRPr="00FB7E50">
          <w:rPr>
            <w:rStyle w:val="Hiperpovezava"/>
            <w:b w:val="0"/>
            <w:bCs w:val="0"/>
            <w:sz w:val="22"/>
            <w:szCs w:val="22"/>
          </w:rPr>
          <w:t>Zakona o davčnem postopku - ZDavP-2</w:t>
        </w:r>
      </w:hyperlink>
      <w:r w:rsidRPr="00333B30">
        <w:rPr>
          <w:b w:val="0"/>
          <w:bCs w:val="0"/>
          <w:sz w:val="22"/>
          <w:szCs w:val="22"/>
        </w:rPr>
        <w:t xml:space="preserve"> o </w:t>
      </w:r>
      <w:r>
        <w:rPr>
          <w:b w:val="0"/>
          <w:bCs w:val="0"/>
          <w:sz w:val="22"/>
          <w:szCs w:val="22"/>
        </w:rPr>
        <w:t xml:space="preserve">tem </w:t>
      </w:r>
      <w:r w:rsidRPr="00333B30">
        <w:rPr>
          <w:b w:val="0"/>
          <w:bCs w:val="0"/>
          <w:sz w:val="22"/>
          <w:szCs w:val="22"/>
        </w:rPr>
        <w:t xml:space="preserve">vračilu pisno obvestiti ponudnika INR in </w:t>
      </w:r>
      <w:r>
        <w:rPr>
          <w:b w:val="0"/>
          <w:bCs w:val="0"/>
          <w:sz w:val="22"/>
          <w:szCs w:val="22"/>
        </w:rPr>
        <w:t>Posebni finančni urad, Gospodinjska ulica 8, P.P. 2588, 1001 Ljubljana</w:t>
      </w:r>
      <w:r w:rsidRPr="00333B30">
        <w:rPr>
          <w:b w:val="0"/>
          <w:bCs w:val="0"/>
          <w:sz w:val="22"/>
          <w:szCs w:val="22"/>
        </w:rPr>
        <w:t xml:space="preserve"> v sedmih dneh od prejema vračila. </w:t>
      </w:r>
    </w:p>
    <w:p w14:paraId="60915723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42C8C397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2B044495" w14:textId="77777777" w:rsidR="005253A9" w:rsidRPr="00816E17" w:rsidRDefault="005253A9" w:rsidP="005253A9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816E17">
        <w:rPr>
          <w:sz w:val="22"/>
          <w:szCs w:val="22"/>
        </w:rPr>
        <w:t>VPISOVANJE PODATKOV POD TOČKO 1</w:t>
      </w:r>
      <w:r>
        <w:rPr>
          <w:sz w:val="22"/>
          <w:szCs w:val="22"/>
        </w:rPr>
        <w:t xml:space="preserve"> -</w:t>
      </w:r>
      <w:r w:rsidRPr="00816E17">
        <w:rPr>
          <w:sz w:val="22"/>
          <w:szCs w:val="22"/>
        </w:rPr>
        <w:t xml:space="preserve"> PODATKI O ZAVEZANCU</w:t>
      </w:r>
    </w:p>
    <w:p w14:paraId="5DC7E1F7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5834B8C4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Vpišejo se osnovni identifikacijski podatki zavezanca (ime in priimek, davčna številka, naslov bivališča, elektronski naslov in telefonska številka).</w:t>
      </w:r>
    </w:p>
    <w:p w14:paraId="79A11097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33066572" w14:textId="77777777" w:rsidR="005253A9" w:rsidRDefault="005253A9" w:rsidP="005253A9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816E17">
        <w:rPr>
          <w:sz w:val="22"/>
          <w:szCs w:val="22"/>
        </w:rPr>
        <w:t>VPISOVANJE PODA</w:t>
      </w:r>
      <w:r>
        <w:rPr>
          <w:sz w:val="22"/>
          <w:szCs w:val="22"/>
        </w:rPr>
        <w:t>T</w:t>
      </w:r>
      <w:r w:rsidRPr="00816E17">
        <w:rPr>
          <w:sz w:val="22"/>
          <w:szCs w:val="22"/>
        </w:rPr>
        <w:t>KOV POD TOČKO 2</w:t>
      </w:r>
      <w:r>
        <w:rPr>
          <w:sz w:val="22"/>
          <w:szCs w:val="22"/>
        </w:rPr>
        <w:t xml:space="preserve"> -</w:t>
      </w:r>
      <w:r w:rsidRPr="00816E17">
        <w:rPr>
          <w:sz w:val="22"/>
          <w:szCs w:val="22"/>
        </w:rPr>
        <w:t xml:space="preserve"> PODATKI O </w:t>
      </w:r>
      <w:r>
        <w:rPr>
          <w:sz w:val="22"/>
          <w:szCs w:val="22"/>
        </w:rPr>
        <w:t>INDIVIDUALNEM RAČUNU</w:t>
      </w:r>
    </w:p>
    <w:p w14:paraId="176E922B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07EA479A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Vpišejo se podatki o INR (številka in datum odprtja individualnega naložbenega računa).</w:t>
      </w:r>
    </w:p>
    <w:p w14:paraId="41C99977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6E113EBF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Vpišejo se osnovni identifikacijski podatki ponudnika INR (naziv, naslov oziroma sedež, davčna številka ponudnika in država).</w:t>
      </w:r>
    </w:p>
    <w:p w14:paraId="26A12165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0E8AEAD9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0260416E" w14:textId="77777777" w:rsidR="005253A9" w:rsidRPr="00816E17" w:rsidRDefault="005253A9" w:rsidP="005253A9">
      <w:pPr>
        <w:pStyle w:val="Telobesedila"/>
        <w:numPr>
          <w:ilvl w:val="0"/>
          <w:numId w:val="1"/>
        </w:numPr>
        <w:rPr>
          <w:sz w:val="22"/>
          <w:szCs w:val="22"/>
        </w:rPr>
      </w:pPr>
      <w:r w:rsidRPr="00816E17">
        <w:rPr>
          <w:sz w:val="22"/>
          <w:szCs w:val="22"/>
        </w:rPr>
        <w:t>VPISOVANJE PODATKOV POD TOČKO 4</w:t>
      </w:r>
      <w:r>
        <w:rPr>
          <w:sz w:val="22"/>
          <w:szCs w:val="22"/>
        </w:rPr>
        <w:t xml:space="preserve"> -</w:t>
      </w:r>
      <w:r w:rsidRPr="00816E17">
        <w:rPr>
          <w:sz w:val="22"/>
          <w:szCs w:val="22"/>
        </w:rPr>
        <w:t xml:space="preserve"> PODATKI O </w:t>
      </w:r>
      <w:r>
        <w:rPr>
          <w:sz w:val="22"/>
          <w:szCs w:val="22"/>
        </w:rPr>
        <w:t xml:space="preserve">VRNJENEM TUJEM DAVKU IN </w:t>
      </w:r>
      <w:r w:rsidRPr="00816E17">
        <w:rPr>
          <w:sz w:val="22"/>
          <w:szCs w:val="22"/>
        </w:rPr>
        <w:t xml:space="preserve">DOHODKU, OD KATEREGA JE BIL PLAČAN </w:t>
      </w:r>
    </w:p>
    <w:p w14:paraId="41BACE16" w14:textId="77777777" w:rsidR="005253A9" w:rsidRDefault="005253A9" w:rsidP="005253A9">
      <w:pPr>
        <w:pStyle w:val="Telobesedila"/>
        <w:ind w:left="720"/>
        <w:rPr>
          <w:b w:val="0"/>
          <w:bCs w:val="0"/>
          <w:sz w:val="22"/>
          <w:szCs w:val="22"/>
        </w:rPr>
      </w:pPr>
    </w:p>
    <w:p w14:paraId="3680F384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 stolpec (1) se vpiše datum prejema dohodka</w:t>
      </w:r>
      <w:r w:rsidRPr="00654FC7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na INR</w:t>
      </w:r>
      <w:r w:rsidRPr="00654FC7">
        <w:rPr>
          <w:b w:val="0"/>
          <w:bCs w:val="0"/>
          <w:sz w:val="22"/>
          <w:szCs w:val="22"/>
        </w:rPr>
        <w:t xml:space="preserve"> v obliki (</w:t>
      </w:r>
      <w:proofErr w:type="spellStart"/>
      <w:r w:rsidRPr="00654FC7">
        <w:rPr>
          <w:b w:val="0"/>
          <w:bCs w:val="0"/>
          <w:sz w:val="22"/>
          <w:szCs w:val="22"/>
        </w:rPr>
        <w:t>dd.mm.LLLL</w:t>
      </w:r>
      <w:proofErr w:type="spellEnd"/>
      <w:r w:rsidRPr="00654FC7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>.</w:t>
      </w:r>
    </w:p>
    <w:p w14:paraId="0C0AF16A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1ADC168C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 stolpec (2) se vpiše vrsta dohodka (obresti, dividende, dobiček iz kapitala ali drugo), ki je bil dosežen na podlagi sredstev INR.</w:t>
      </w:r>
    </w:p>
    <w:p w14:paraId="0859C4B1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76DB66E1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 stolpec (3) se vpiše bruto znesek dohodka v EUR, zaokrožen na dve decimalni mesti. Pridobljeni dohodek v tuji valuti se preračuna v eure po tečaju, ki ga objavlja Banka Slovenije. </w:t>
      </w:r>
    </w:p>
    <w:p w14:paraId="5A06C8DD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51549B54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 stolpec (4) se vpiše datum prejema vračila tujega davka</w:t>
      </w:r>
      <w:r w:rsidRPr="003D432D">
        <w:rPr>
          <w:b w:val="0"/>
          <w:bCs w:val="0"/>
          <w:sz w:val="22"/>
          <w:szCs w:val="22"/>
        </w:rPr>
        <w:t xml:space="preserve"> </w:t>
      </w:r>
      <w:r w:rsidRPr="00654FC7">
        <w:rPr>
          <w:b w:val="0"/>
          <w:bCs w:val="0"/>
          <w:sz w:val="22"/>
          <w:szCs w:val="22"/>
        </w:rPr>
        <w:t>v obliki (</w:t>
      </w:r>
      <w:proofErr w:type="spellStart"/>
      <w:r w:rsidRPr="00654FC7">
        <w:rPr>
          <w:b w:val="0"/>
          <w:bCs w:val="0"/>
          <w:sz w:val="22"/>
          <w:szCs w:val="22"/>
        </w:rPr>
        <w:t>dd.mm.LLLL</w:t>
      </w:r>
      <w:proofErr w:type="spellEnd"/>
      <w:r w:rsidRPr="00654FC7">
        <w:rPr>
          <w:b w:val="0"/>
          <w:bCs w:val="0"/>
          <w:sz w:val="22"/>
          <w:szCs w:val="22"/>
        </w:rPr>
        <w:t>)</w:t>
      </w:r>
      <w:r>
        <w:rPr>
          <w:b w:val="0"/>
          <w:bCs w:val="0"/>
          <w:sz w:val="22"/>
          <w:szCs w:val="22"/>
        </w:rPr>
        <w:t>.</w:t>
      </w:r>
    </w:p>
    <w:p w14:paraId="35D7C593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31C36CFF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 stolpec (5) se vpiše znesek vračila tujega davka v EUR</w:t>
      </w:r>
      <w:r w:rsidRPr="003D432D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zaokrožen na dve decimalni mesti. Tuji davek, vrnjen v tuji valuti, se preračuna v eure po tečaju, ki ga objavlja Banka Slovenije in velja na dan prejema vračila. </w:t>
      </w:r>
    </w:p>
    <w:p w14:paraId="31394F40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7EA21134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V stolpec (6) se vpišejo identifikacijski podatki izplačevalca tujega dohodka (naziv, naslov, država).</w:t>
      </w:r>
    </w:p>
    <w:p w14:paraId="2A7AF89E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</w:p>
    <w:p w14:paraId="4AA0A1A3" w14:textId="77777777" w:rsidR="005253A9" w:rsidRDefault="005253A9" w:rsidP="005253A9">
      <w:pPr>
        <w:pStyle w:val="Telobesedila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 xml:space="preserve">Davčni zavezanec obvestilu priloži ustrezna dokazila, s katerimi dokazuje prejeto vračilo tujega davka. </w:t>
      </w:r>
    </w:p>
    <w:p w14:paraId="0F65B4B2" w14:textId="77777777" w:rsidR="005253A9" w:rsidRPr="001F5A9E" w:rsidRDefault="005253A9" w:rsidP="005253A9">
      <w:pPr>
        <w:pStyle w:val="Telobesedila"/>
        <w:rPr>
          <w:sz w:val="22"/>
          <w:szCs w:val="22"/>
        </w:rPr>
      </w:pPr>
    </w:p>
    <w:p w14:paraId="4BD1D945" w14:textId="77777777" w:rsidR="005253A9" w:rsidRDefault="005253A9" w:rsidP="005253A9">
      <w:pPr>
        <w:pStyle w:val="Telobesedila"/>
        <w:rPr>
          <w:sz w:val="22"/>
          <w:szCs w:val="22"/>
        </w:rPr>
      </w:pPr>
      <w:r w:rsidRPr="001F5A9E">
        <w:rPr>
          <w:sz w:val="22"/>
          <w:szCs w:val="22"/>
        </w:rPr>
        <w:t xml:space="preserve">Dodatne informacije so na voljo na spletni strani </w:t>
      </w:r>
      <w:r w:rsidRPr="001F5A9E">
        <w:rPr>
          <w:sz w:val="22"/>
          <w:szCs w:val="22"/>
          <w:u w:val="single"/>
        </w:rPr>
        <w:t>Finančne uprave RS</w:t>
      </w:r>
      <w:r w:rsidRPr="001F5A9E">
        <w:rPr>
          <w:sz w:val="22"/>
          <w:szCs w:val="22"/>
        </w:rPr>
        <w:t xml:space="preserve"> ali na telefonski številki klicnega centra za davke fizičnih oseb: 08 200 1001</w:t>
      </w:r>
      <w:r>
        <w:rPr>
          <w:sz w:val="22"/>
          <w:szCs w:val="22"/>
        </w:rPr>
        <w:t>.</w:t>
      </w:r>
    </w:p>
    <w:p w14:paraId="4C890648" w14:textId="77777777" w:rsidR="005253A9" w:rsidRDefault="005253A9" w:rsidP="005253A9">
      <w:pPr>
        <w:pStyle w:val="Telobesedila"/>
        <w:rPr>
          <w:sz w:val="22"/>
          <w:szCs w:val="22"/>
        </w:rPr>
      </w:pPr>
    </w:p>
    <w:p w14:paraId="3FC2C64F" w14:textId="77777777" w:rsidR="005253A9" w:rsidRDefault="005253A9" w:rsidP="005253A9">
      <w:pPr>
        <w:pStyle w:val="Telobesedila"/>
        <w:rPr>
          <w:sz w:val="22"/>
          <w:szCs w:val="22"/>
        </w:rPr>
      </w:pPr>
    </w:p>
    <w:p w14:paraId="2E3E897C" w14:textId="77777777" w:rsidR="005253A9" w:rsidRDefault="005253A9" w:rsidP="005253A9">
      <w:pPr>
        <w:pStyle w:val="Telobesedila"/>
        <w:rPr>
          <w:sz w:val="22"/>
          <w:szCs w:val="22"/>
        </w:rPr>
      </w:pPr>
    </w:p>
    <w:p w14:paraId="302D2A26" w14:textId="77777777" w:rsidR="005253A9" w:rsidRPr="009D2B70" w:rsidRDefault="005253A9" w:rsidP="005253A9">
      <w:pPr>
        <w:pStyle w:val="Telobesedila"/>
        <w:rPr>
          <w:color w:val="FF0000"/>
          <w:sz w:val="22"/>
          <w:szCs w:val="22"/>
        </w:rPr>
      </w:pPr>
    </w:p>
    <w:p w14:paraId="328DDCA1" w14:textId="77777777" w:rsidR="003D29BF" w:rsidRDefault="003D29BF"/>
    <w:sectPr w:rsidR="003D2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42FDE"/>
    <w:multiLevelType w:val="hybridMultilevel"/>
    <w:tmpl w:val="E8AC94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680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3A9"/>
    <w:rsid w:val="00177B32"/>
    <w:rsid w:val="003D29BF"/>
    <w:rsid w:val="005253A9"/>
    <w:rsid w:val="006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953EB"/>
  <w15:chartTrackingRefBased/>
  <w15:docId w15:val="{1AEAED5C-235B-46A0-B7DB-69318BB37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25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25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25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25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25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25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25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25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25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25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25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25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253A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253A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253A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253A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253A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253A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25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2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25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25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25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253A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253A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253A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25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253A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253A9"/>
    <w:rPr>
      <w:b/>
      <w:bCs/>
      <w:smallCaps/>
      <w:color w:val="0F4761" w:themeColor="accent1" w:themeShade="BF"/>
      <w:spacing w:val="5"/>
    </w:rPr>
  </w:style>
  <w:style w:type="paragraph" w:styleId="Telobesedila">
    <w:name w:val="Body Text"/>
    <w:basedOn w:val="Navaden"/>
    <w:link w:val="TelobesedilaZnak"/>
    <w:rsid w:val="005253A9"/>
    <w:pPr>
      <w:spacing w:after="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5253A9"/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character" w:styleId="Hiperpovezava">
    <w:name w:val="Hyperlink"/>
    <w:uiPriority w:val="99"/>
    <w:unhideWhenUsed/>
    <w:rsid w:val="00525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rs.si/pregledPredpisa?id=ZAKO47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2370</Characters>
  <Application>Microsoft Office Word</Application>
  <DocSecurity>0</DocSecurity>
  <Lines>19</Lines>
  <Paragraphs>5</Paragraphs>
  <ScaleCrop>false</ScaleCrop>
  <Company>FURS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Klančnik</dc:creator>
  <cp:keywords/>
  <dc:description/>
  <cp:lastModifiedBy>Nataša Klančnik</cp:lastModifiedBy>
  <cp:revision>1</cp:revision>
  <dcterms:created xsi:type="dcterms:W3CDTF">2025-12-08T13:42:00Z</dcterms:created>
  <dcterms:modified xsi:type="dcterms:W3CDTF">2025-12-08T13:42:00Z</dcterms:modified>
</cp:coreProperties>
</file>