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F10" w:rsidRDefault="008C08B4">
      <w:pPr>
        <w:spacing w:after="0" w:line="259" w:lineRule="auto"/>
        <w:ind w:left="0" w:right="0" w:firstLine="0"/>
        <w:jc w:val="left"/>
      </w:pPr>
      <w:r>
        <w:rPr>
          <w:rFonts w:ascii="Arial" w:eastAsia="Arial" w:hAnsi="Arial" w:cs="Arial"/>
          <w:b/>
        </w:rPr>
        <w:t xml:space="preserve">NAVODILO ZA IZPOLNJEVANJE OBRAZCA  </w:t>
      </w:r>
    </w:p>
    <w:p w:rsidR="00356F10" w:rsidRDefault="008C08B4">
      <w:pPr>
        <w:spacing w:after="0" w:line="259" w:lineRule="auto"/>
        <w:ind w:left="0" w:right="0" w:firstLine="0"/>
        <w:jc w:val="left"/>
      </w:pPr>
      <w:r>
        <w:t xml:space="preserve"> </w:t>
      </w:r>
    </w:p>
    <w:p w:rsidR="00356F10" w:rsidRDefault="008C08B4">
      <w:pPr>
        <w:ind w:left="-5" w:right="0"/>
      </w:pPr>
      <w:r>
        <w:t>Zahtevek za zmanjšanje oziroma oprostitev davka od obresti na podlagi določb mednarodne pogodbe o izogibanju dvojnega obdavčevanja dohodka je predpisan na podlagi 260. in 266</w:t>
      </w:r>
      <w:r>
        <w:t xml:space="preserve">. člena Zakona o davčnem postopku (Uradni list RS, št. 117/06), v povezavi s 134. členom Zakona o dohodnini (Uradni list RS, št. 117/06; v nadaljnjem besedilu: ZDoh-2) in s 70. členom Zakona o davku od dohodkov pravnih oseb  (Uradni list RS, št. 117/06; v </w:t>
      </w:r>
      <w:r>
        <w:t xml:space="preserve">nadaljnjem besedilu: ZDDPO-2). </w:t>
      </w:r>
    </w:p>
    <w:p w:rsidR="00356F10" w:rsidRDefault="008C08B4">
      <w:pPr>
        <w:ind w:left="-5" w:right="0"/>
      </w:pPr>
      <w:r>
        <w:t>Prejemnik obresti predloži plačniku obresti izpolnjen obrazec preden so obresti izplačane. Plačnik obresti predloži izpolnjen obrazec Finančni upravi Republike Slovenije. Davčni organ odloči o zahtevku najpozneje v 15 dneh o</w:t>
      </w:r>
      <w:r>
        <w:t xml:space="preserve">d prejema zahtevka. Plačnik davka lahko izplača obresti in obračuna davek po nižji stopnji, kot je določen z zakonom (ZDoh-2, ZDDPO-2) ali od teh obresti ne izračuna in odtegne davka, šele ko prejme s strani davčnega organa potrjen zahtevek. </w:t>
      </w:r>
    </w:p>
    <w:p w:rsidR="00356F10" w:rsidRDefault="008C08B4">
      <w:pPr>
        <w:ind w:left="-5" w:right="0"/>
      </w:pPr>
      <w:r>
        <w:t>Za vsako izpl</w:t>
      </w:r>
      <w:r>
        <w:t xml:space="preserve">ačilo obresti se predloži nov zahtevek. Davčni organ lahko v primerih, ko plačnik davka izplačuje dohodek v rednih časovnih presledkih, odobri ugodnosti za daljše časovno obdobje.  </w:t>
      </w:r>
    </w:p>
    <w:p w:rsidR="00356F10" w:rsidRDefault="008C08B4">
      <w:pPr>
        <w:ind w:left="-5" w:right="0"/>
      </w:pPr>
      <w:r>
        <w:t xml:space="preserve">Obrazec se izpolnjuje čitljivo, z velikimi tiskanimi črkami.  </w:t>
      </w:r>
    </w:p>
    <w:p w:rsidR="00356F10" w:rsidRDefault="008C08B4">
      <w:pPr>
        <w:ind w:left="-5" w:right="0"/>
      </w:pPr>
      <w:r>
        <w:rPr>
          <w:b/>
        </w:rPr>
        <w:t>1.</w:t>
      </w:r>
      <w:r>
        <w:t xml:space="preserve"> Prejemni</w:t>
      </w:r>
      <w:r>
        <w:t>k dohodka vpiše državo, s katero ima Republika Slovenija sklenjeno mednarodno pogodbo o izogibanju dvojnega obdavčevanja dohodka, ter člen in odstavek člena te pogodbe, na podlagi katere vlaga zahtevek. V polje desno z X označi ali se zahtevek nanaša na uv</w:t>
      </w:r>
      <w:r>
        <w:t xml:space="preserve">eljavljanje nižje davčne stopnje (v tem primeru vpiše tudi davčno stopnjo) ali na oprostitev davka.  </w:t>
      </w:r>
    </w:p>
    <w:p w:rsidR="00356F10" w:rsidRDefault="008C08B4">
      <w:pPr>
        <w:pStyle w:val="Naslov1"/>
        <w:ind w:left="-5"/>
      </w:pPr>
      <w:r>
        <w:t xml:space="preserve">2. Podatki o prejemniku obresti </w:t>
      </w:r>
    </w:p>
    <w:p w:rsidR="00356F10" w:rsidRDefault="008C08B4">
      <w:pPr>
        <w:ind w:left="-5" w:right="0"/>
      </w:pPr>
      <w:r>
        <w:t>Vpiše se ime in priimek oziroma firma prejemnika obresti. Fizična oseba vpiše podatke o prebivališču (naselje, ulica, hiš</w:t>
      </w:r>
      <w:r>
        <w:t>na številka in pošta) in državo, katere državljan je. Če je prejemnik dohodka gospodarska družba ali druga pravna oseba ali združenje oseb po tujem pravu, se vpišeta sedež te osebe in kraj njenega dejanskega upravljanja. Prejemnik dohodka vpiše državo, kat</w:t>
      </w:r>
      <w:r>
        <w:t>ere rezident je za davčne namene (država, katere pristojni organ potrdi rubriko v 7. točki obrazca), in davčno ali drugo identifikacijsko številko. Podatek o tej številki ni obvezen. Kadar je prejemnik dohodka poslovna enota nerezidenta v Republiki Sloveni</w:t>
      </w:r>
      <w:r>
        <w:t>ji, se to ustrezno označi z X v kvadratku pred besedo DA. V tem primeru se vpišejo naziv, sedež in dejavnost poslovne enote. Če poslovna enota nima sedeža, se vpiše samo njen kraj. Kadar prejemnik dohodka ni poslovna enota, se to označi z X v kvadratku pre</w:t>
      </w:r>
      <w:r>
        <w:t xml:space="preserve">d besedo NE, pri čemer se desne rubrike ne izpolnjujejo. </w:t>
      </w:r>
    </w:p>
    <w:p w:rsidR="00356F10" w:rsidRDefault="008C08B4">
      <w:pPr>
        <w:pStyle w:val="Naslov1"/>
        <w:ind w:left="-5"/>
      </w:pPr>
      <w:r>
        <w:t xml:space="preserve">3. Podatki o plačniku obresti (plačnik davka) </w:t>
      </w:r>
    </w:p>
    <w:p w:rsidR="00CD7EFD" w:rsidRDefault="008C08B4">
      <w:pPr>
        <w:ind w:left="-5" w:right="0"/>
      </w:pPr>
      <w:r>
        <w:t>Vpišejo se firma in pravno-organizacijska oblika ter sedež in davčna številka plačnika davka. Podatek o osnovnem kapitalu se vpisuje, kadar se uveljavl</w:t>
      </w:r>
      <w:r>
        <w:t xml:space="preserve">ja nižja davčna stopnja, ki je skladno z določbami mednarodne pogodbe pogojena z določeno udeležbo v kapitalu oziroma upravljanju plačnika. </w:t>
      </w:r>
    </w:p>
    <w:p w:rsidR="00356F10" w:rsidRDefault="008C08B4">
      <w:pPr>
        <w:ind w:left="-5" w:right="0"/>
      </w:pPr>
      <w:r>
        <w:rPr>
          <w:b/>
        </w:rPr>
        <w:t>4. Podatki o obrestih, prejetih od plačnika, za katere se u</w:t>
      </w:r>
      <w:bookmarkStart w:id="0" w:name="_GoBack"/>
      <w:bookmarkEnd w:id="0"/>
      <w:r>
        <w:rPr>
          <w:b/>
        </w:rPr>
        <w:t>porabi pogodba iz 1. točke</w:t>
      </w:r>
      <w:r>
        <w:t xml:space="preserve"> </w:t>
      </w:r>
    </w:p>
    <w:p w:rsidR="00356F10" w:rsidRDefault="008C08B4">
      <w:pPr>
        <w:ind w:left="-5" w:right="0"/>
      </w:pPr>
      <w:r>
        <w:t xml:space="preserve"> Z X se ustrezno označi, ali </w:t>
      </w:r>
      <w:r>
        <w:t xml:space="preserve">so obresti prejete na podlagi depozita pri banki ali hranilnici ali na podlagi posojila ali na podlagi dolžniškega vrednostnega papirja ali na drugi podlagi. Vpiše se vrsta dohodka. Iz opisa mora biti razvidno, da gre za dohodek, za katerega veljajo </w:t>
      </w:r>
      <w:r>
        <w:t>ugodno</w:t>
      </w:r>
      <w:r>
        <w:t>sti</w:t>
      </w:r>
      <w:r>
        <w:t xml:space="preserve"> iz mednarodne pogodbe. Vpiše se delež, ki ga ima prejemnik dohodka v plačniku (v %). Podatek o deležu se vpisuje, kadar se uveljavlja nižja davčna stopnja, ki je skladno z določbami mednarodne pogodbe pogojena z določeno udeležbo v kapitalu oziroma upr</w:t>
      </w:r>
      <w:r>
        <w:t>avljanju plačnika. Vpišeta se še datum plačila (</w:t>
      </w:r>
      <w:proofErr w:type="spellStart"/>
      <w:r>
        <w:t>mm.dd.LLLL</w:t>
      </w:r>
      <w:proofErr w:type="spellEnd"/>
      <w:r>
        <w:t xml:space="preserve">) in znesek obresti v eurih, zaokrožen na dve decimalni mesti. </w:t>
      </w:r>
    </w:p>
    <w:p w:rsidR="00356F10" w:rsidRDefault="008C08B4">
      <w:pPr>
        <w:pStyle w:val="Naslov1"/>
        <w:ind w:left="-5"/>
      </w:pPr>
      <w:r>
        <w:t xml:space="preserve">5. Drugo </w:t>
      </w:r>
    </w:p>
    <w:p w:rsidR="00356F10" w:rsidRDefault="008C08B4">
      <w:pPr>
        <w:ind w:left="-5" w:right="0"/>
      </w:pPr>
      <w:r>
        <w:t xml:space="preserve">Vpišejo se drugi podatki. </w:t>
      </w:r>
    </w:p>
    <w:p w:rsidR="00356F10" w:rsidRPr="00CD7EFD" w:rsidRDefault="008C08B4">
      <w:pPr>
        <w:ind w:left="-5" w:right="0"/>
      </w:pPr>
      <w:r w:rsidRPr="00CD7EFD">
        <w:rPr>
          <w:b/>
        </w:rPr>
        <w:t>7</w:t>
      </w:r>
      <w:r w:rsidRPr="00CD7EFD">
        <w:t>.</w:t>
      </w:r>
      <w:r w:rsidRPr="00CD7EFD">
        <w:t xml:space="preserve"> Izpolni pristojni organ države, katere rezident je za davčne namene prejemnik obresti.  </w:t>
      </w:r>
    </w:p>
    <w:p w:rsidR="00356F10" w:rsidRDefault="008C08B4">
      <w:pPr>
        <w:spacing w:after="0" w:line="277" w:lineRule="auto"/>
        <w:ind w:left="0" w:right="0" w:firstLine="0"/>
        <w:jc w:val="left"/>
      </w:pPr>
      <w:r>
        <w:rPr>
          <w:b/>
          <w:sz w:val="22"/>
        </w:rPr>
        <w:lastRenderedPageBreak/>
        <w:t>Prilo</w:t>
      </w:r>
      <w:r>
        <w:rPr>
          <w:b/>
          <w:sz w:val="22"/>
        </w:rPr>
        <w:t>ge: *</w:t>
      </w:r>
      <w:r>
        <w:rPr>
          <w:sz w:val="22"/>
        </w:rPr>
        <w:t xml:space="preserve">Ustrezna priloga se priloži, če je višina udeležbe v kapitalu oziroma upravljanju družbe pogoj za uveljavljanje nižje davčne stopnje iz mednarodne pogodbe. </w:t>
      </w:r>
    </w:p>
    <w:p w:rsidR="00356F10" w:rsidRDefault="008C08B4">
      <w:pPr>
        <w:spacing w:after="0" w:line="259" w:lineRule="auto"/>
        <w:ind w:left="0" w:right="0" w:firstLine="0"/>
        <w:jc w:val="left"/>
      </w:pPr>
      <w:r>
        <w:t xml:space="preserve"> </w:t>
      </w:r>
    </w:p>
    <w:p w:rsidR="00356F10" w:rsidRDefault="008C08B4">
      <w:pPr>
        <w:spacing w:after="2018" w:line="259" w:lineRule="auto"/>
        <w:ind w:left="0" w:right="0" w:firstLine="0"/>
        <w:jc w:val="left"/>
      </w:pPr>
      <w:r>
        <w:t xml:space="preserve"> </w:t>
      </w:r>
    </w:p>
    <w:p w:rsidR="00356F10" w:rsidRDefault="00356F10">
      <w:pPr>
        <w:spacing w:after="0" w:line="259" w:lineRule="auto"/>
        <w:ind w:left="0" w:right="0" w:firstLine="0"/>
        <w:jc w:val="left"/>
      </w:pPr>
    </w:p>
    <w:sectPr w:rsidR="00356F10">
      <w:footerReference w:type="default" r:id="rId6"/>
      <w:pgSz w:w="11906" w:h="16838"/>
      <w:pgMar w:top="1440" w:right="862" w:bottom="1440" w:left="8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8B4" w:rsidRDefault="008C08B4" w:rsidP="00CD7EFD">
      <w:pPr>
        <w:spacing w:after="0" w:line="240" w:lineRule="auto"/>
      </w:pPr>
      <w:r>
        <w:separator/>
      </w:r>
    </w:p>
  </w:endnote>
  <w:endnote w:type="continuationSeparator" w:id="0">
    <w:p w:rsidR="008C08B4" w:rsidRDefault="008C08B4" w:rsidP="00CD7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EFD" w:rsidRDefault="00CD7EFD" w:rsidP="00CD7EFD">
    <w:pPr>
      <w:spacing w:after="0" w:line="259" w:lineRule="auto"/>
      <w:ind w:left="0" w:right="0" w:firstLine="0"/>
      <w:jc w:val="left"/>
    </w:pPr>
    <w:r>
      <w:rPr>
        <w:b/>
        <w:sz w:val="16"/>
      </w:rPr>
      <w:t xml:space="preserve">MF – FURS </w:t>
    </w:r>
    <w:proofErr w:type="spellStart"/>
    <w:r>
      <w:rPr>
        <w:b/>
        <w:sz w:val="16"/>
      </w:rPr>
      <w:t>obr</w:t>
    </w:r>
    <w:proofErr w:type="spellEnd"/>
    <w:r>
      <w:rPr>
        <w:b/>
        <w:sz w:val="16"/>
      </w:rPr>
      <w:t xml:space="preserve">. KIDO 2 </w:t>
    </w:r>
  </w:p>
  <w:p w:rsidR="00CD7EFD" w:rsidRDefault="00CD7EF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8B4" w:rsidRDefault="008C08B4" w:rsidP="00CD7EFD">
      <w:pPr>
        <w:spacing w:after="0" w:line="240" w:lineRule="auto"/>
      </w:pPr>
      <w:r>
        <w:separator/>
      </w:r>
    </w:p>
  </w:footnote>
  <w:footnote w:type="continuationSeparator" w:id="0">
    <w:p w:rsidR="008C08B4" w:rsidRDefault="008C08B4" w:rsidP="00CD7E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10"/>
    <w:rsid w:val="00356F10"/>
    <w:rsid w:val="008C08B4"/>
    <w:rsid w:val="00CD7E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0A12E-DA0F-4C90-BB2C-EED0CE03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3" w:line="264" w:lineRule="auto"/>
      <w:ind w:left="10" w:right="1" w:hanging="10"/>
      <w:jc w:val="both"/>
    </w:pPr>
    <w:rPr>
      <w:rFonts w:ascii="Times New Roman" w:eastAsia="Times New Roman" w:hAnsi="Times New Roman" w:cs="Times New Roman"/>
      <w:color w:val="000000"/>
      <w:sz w:val="24"/>
    </w:rPr>
  </w:style>
  <w:style w:type="paragraph" w:styleId="Naslov1">
    <w:name w:val="heading 1"/>
    <w:next w:val="Navaden"/>
    <w:link w:val="Naslov1Znak"/>
    <w:uiPriority w:val="9"/>
    <w:unhideWhenUsed/>
    <w:qFormat/>
    <w:pPr>
      <w:keepNext/>
      <w:keepLines/>
      <w:spacing w:after="17"/>
      <w:ind w:left="10" w:hanging="10"/>
      <w:outlineLvl w:val="0"/>
    </w:pPr>
    <w:rPr>
      <w:rFonts w:ascii="Times New Roman" w:eastAsia="Times New Roman" w:hAnsi="Times New Roman" w:cs="Times New Roman"/>
      <w:b/>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Times New Roman" w:eastAsia="Times New Roman" w:hAnsi="Times New Roman" w:cs="Times New Roman"/>
      <w:b/>
      <w:color w:val="000000"/>
      <w:sz w:val="24"/>
    </w:rPr>
  </w:style>
  <w:style w:type="paragraph" w:styleId="Glava">
    <w:name w:val="header"/>
    <w:basedOn w:val="Navaden"/>
    <w:link w:val="GlavaZnak"/>
    <w:uiPriority w:val="99"/>
    <w:unhideWhenUsed/>
    <w:rsid w:val="00CD7EFD"/>
    <w:pPr>
      <w:tabs>
        <w:tab w:val="center" w:pos="4536"/>
        <w:tab w:val="right" w:pos="9072"/>
      </w:tabs>
      <w:spacing w:after="0" w:line="240" w:lineRule="auto"/>
    </w:pPr>
  </w:style>
  <w:style w:type="character" w:customStyle="1" w:styleId="GlavaZnak">
    <w:name w:val="Glava Znak"/>
    <w:basedOn w:val="Privzetapisavaodstavka"/>
    <w:link w:val="Glava"/>
    <w:uiPriority w:val="99"/>
    <w:rsid w:val="00CD7EFD"/>
    <w:rPr>
      <w:rFonts w:ascii="Times New Roman" w:eastAsia="Times New Roman" w:hAnsi="Times New Roman" w:cs="Times New Roman"/>
      <w:color w:val="000000"/>
      <w:sz w:val="24"/>
    </w:rPr>
  </w:style>
  <w:style w:type="paragraph" w:styleId="Noga">
    <w:name w:val="footer"/>
    <w:basedOn w:val="Navaden"/>
    <w:link w:val="NogaZnak"/>
    <w:uiPriority w:val="99"/>
    <w:unhideWhenUsed/>
    <w:rsid w:val="00CD7EFD"/>
    <w:pPr>
      <w:tabs>
        <w:tab w:val="center" w:pos="4536"/>
        <w:tab w:val="right" w:pos="9072"/>
      </w:tabs>
      <w:spacing w:after="0" w:line="240" w:lineRule="auto"/>
    </w:pPr>
  </w:style>
  <w:style w:type="character" w:customStyle="1" w:styleId="NogaZnak">
    <w:name w:val="Noga Znak"/>
    <w:basedOn w:val="Privzetapisavaodstavka"/>
    <w:link w:val="Noga"/>
    <w:uiPriority w:val="99"/>
    <w:rsid w:val="00CD7EF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3373</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Na podlagi drugega odstavka 269</vt:lpstr>
    </vt:vector>
  </TitlesOfParts>
  <Company>Finančna Uprava RS</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drugega odstavka 269</dc:title>
  <dc:subject/>
  <dc:creator>SamoCar</dc:creator>
  <cp:keywords/>
  <cp:lastModifiedBy>Neja Osterman</cp:lastModifiedBy>
  <cp:revision>2</cp:revision>
  <dcterms:created xsi:type="dcterms:W3CDTF">2018-04-12T12:58:00Z</dcterms:created>
  <dcterms:modified xsi:type="dcterms:W3CDTF">2018-04-12T12:58:00Z</dcterms:modified>
</cp:coreProperties>
</file>