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3825" w14:textId="77777777" w:rsidR="00B17AB4" w:rsidRPr="00B17AB4" w:rsidRDefault="00B17AB4" w:rsidP="00B17AB4">
      <w:pPr>
        <w:spacing w:after="0"/>
        <w:rPr>
          <w:rFonts w:cs="Arial"/>
          <w:b/>
          <w:sz w:val="20"/>
          <w:szCs w:val="20"/>
        </w:rPr>
      </w:pPr>
    </w:p>
    <w:p w14:paraId="5740CE4A" w14:textId="1C29A3DA" w:rsidR="00CF0B0F" w:rsidRDefault="00CF0B0F" w:rsidP="00CF0B0F">
      <w:pPr>
        <w:rPr>
          <w:rFonts w:cs="Arial"/>
          <w:b/>
          <w:sz w:val="24"/>
          <w:szCs w:val="24"/>
        </w:rPr>
      </w:pPr>
      <w:r w:rsidRPr="00B17AB4">
        <w:rPr>
          <w:rFonts w:cs="Arial"/>
          <w:b/>
          <w:sz w:val="24"/>
          <w:szCs w:val="24"/>
        </w:rPr>
        <w:t xml:space="preserve">Navodilo za izpolnjevanje obrazca </w:t>
      </w:r>
      <w:r w:rsidR="001D2B2F" w:rsidRPr="00B17AB4">
        <w:rPr>
          <w:rFonts w:cs="Arial"/>
          <w:b/>
          <w:sz w:val="24"/>
          <w:szCs w:val="24"/>
        </w:rPr>
        <w:t xml:space="preserve">OBROK </w:t>
      </w:r>
      <w:r w:rsidR="00227F89">
        <w:rPr>
          <w:rFonts w:cs="Arial"/>
          <w:b/>
          <w:sz w:val="24"/>
          <w:szCs w:val="24"/>
        </w:rPr>
        <w:t>–</w:t>
      </w:r>
      <w:r w:rsidR="00F968D7">
        <w:rPr>
          <w:rFonts w:cs="Arial"/>
          <w:b/>
          <w:sz w:val="24"/>
          <w:szCs w:val="24"/>
        </w:rPr>
        <w:t xml:space="preserve"> 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569"/>
      </w:tblGrid>
      <w:tr w:rsidR="00EE4992" w:rsidRPr="001E0FC7" w14:paraId="49E11FF7" w14:textId="77777777" w:rsidTr="00227F89">
        <w:trPr>
          <w:trHeight w:val="170"/>
        </w:trPr>
        <w:tc>
          <w:tcPr>
            <w:tcW w:w="2493" w:type="dxa"/>
            <w:shd w:val="clear" w:color="auto" w:fill="auto"/>
          </w:tcPr>
          <w:p w14:paraId="6C36C79E" w14:textId="77777777" w:rsidR="00EE4992" w:rsidRPr="00EE4992" w:rsidRDefault="00EE4992" w:rsidP="00EE4992">
            <w:pPr>
              <w:rPr>
                <w:rFonts w:cs="Arial"/>
                <w:b/>
                <w:color w:val="000000" w:themeColor="text1"/>
                <w:sz w:val="20"/>
                <w:szCs w:val="20"/>
              </w:rPr>
            </w:pPr>
            <w:r w:rsidRPr="00EE4992">
              <w:rPr>
                <w:rFonts w:cs="Arial"/>
                <w:b/>
                <w:color w:val="000000" w:themeColor="text1"/>
                <w:sz w:val="20"/>
                <w:szCs w:val="20"/>
              </w:rPr>
              <w:t>Opozorilo:</w:t>
            </w:r>
          </w:p>
        </w:tc>
        <w:tc>
          <w:tcPr>
            <w:tcW w:w="6569" w:type="dxa"/>
            <w:shd w:val="clear" w:color="auto" w:fill="auto"/>
          </w:tcPr>
          <w:p w14:paraId="0C94F755" w14:textId="32004E0D" w:rsidR="00EE4992" w:rsidRPr="00EE4992" w:rsidRDefault="00EE4992" w:rsidP="005D60CA">
            <w:pPr>
              <w:tabs>
                <w:tab w:val="center" w:pos="4536"/>
                <w:tab w:val="right" w:pos="9072"/>
              </w:tabs>
              <w:spacing w:after="0" w:line="240" w:lineRule="auto"/>
              <w:rPr>
                <w:rFonts w:ascii="Calibri" w:eastAsia="Times New Roman" w:hAnsi="Calibri" w:cs="Arial"/>
                <w:b/>
                <w:color w:val="000000" w:themeColor="text1"/>
                <w:sz w:val="20"/>
                <w:szCs w:val="20"/>
              </w:rPr>
            </w:pPr>
            <w:r w:rsidRPr="00EE4992">
              <w:rPr>
                <w:rFonts w:ascii="Calibri" w:eastAsia="Times New Roman" w:hAnsi="Calibri" w:cs="Arial"/>
                <w:b/>
                <w:color w:val="000000" w:themeColor="text1"/>
                <w:sz w:val="20"/>
                <w:szCs w:val="20"/>
              </w:rPr>
              <w:t>Vloga za obročno plačilo ne odloži oziroma zadrži davčne izvršbe</w:t>
            </w:r>
            <w:r w:rsidR="003E6F67">
              <w:rPr>
                <w:rFonts w:ascii="Calibri" w:eastAsia="Times New Roman" w:hAnsi="Calibri" w:cs="Arial"/>
                <w:b/>
                <w:color w:val="000000" w:themeColor="text1"/>
                <w:sz w:val="20"/>
                <w:szCs w:val="20"/>
              </w:rPr>
              <w:t>.</w:t>
            </w:r>
          </w:p>
        </w:tc>
      </w:tr>
      <w:tr w:rsidR="00EE4992" w:rsidRPr="00B17AB4" w14:paraId="3AFA70E7" w14:textId="77777777" w:rsidTr="00227F89">
        <w:trPr>
          <w:trHeight w:val="283"/>
        </w:trPr>
        <w:tc>
          <w:tcPr>
            <w:tcW w:w="2493" w:type="dxa"/>
            <w:shd w:val="clear" w:color="auto" w:fill="auto"/>
          </w:tcPr>
          <w:p w14:paraId="5C942763" w14:textId="77777777" w:rsidR="00EE4992" w:rsidRPr="00B17AB4" w:rsidRDefault="00EE4992" w:rsidP="00EE4992">
            <w:pPr>
              <w:rPr>
                <w:rFonts w:cs="Arial"/>
                <w:sz w:val="20"/>
                <w:szCs w:val="20"/>
              </w:rPr>
            </w:pPr>
            <w:r w:rsidRPr="00B17AB4">
              <w:rPr>
                <w:rFonts w:cs="Arial"/>
                <w:sz w:val="20"/>
                <w:szCs w:val="20"/>
              </w:rPr>
              <w:t>Podatki o davčnem zavezancu:</w:t>
            </w:r>
          </w:p>
        </w:tc>
        <w:tc>
          <w:tcPr>
            <w:tcW w:w="6569" w:type="dxa"/>
            <w:shd w:val="clear" w:color="auto" w:fill="auto"/>
          </w:tcPr>
          <w:p w14:paraId="3AB7E6F1" w14:textId="77777777" w:rsidR="00EE4992" w:rsidRPr="00B17AB4" w:rsidRDefault="00EE4992" w:rsidP="00EE4992">
            <w:pPr>
              <w:rPr>
                <w:rFonts w:cs="Arial"/>
                <w:i/>
                <w:sz w:val="20"/>
                <w:szCs w:val="20"/>
              </w:rPr>
            </w:pPr>
            <w:r w:rsidRPr="00B17AB4">
              <w:rPr>
                <w:rFonts w:cs="Arial"/>
                <w:i/>
                <w:sz w:val="20"/>
                <w:szCs w:val="20"/>
              </w:rPr>
              <w:t xml:space="preserve">Vpišejo se osebni podatki o davčnemu zavezancu. </w:t>
            </w:r>
          </w:p>
          <w:p w14:paraId="3C238D8F" w14:textId="44D8933B" w:rsidR="00EE4992" w:rsidRPr="00B17AB4" w:rsidRDefault="00EE4992" w:rsidP="00EE4992">
            <w:pPr>
              <w:rPr>
                <w:rFonts w:cs="Arial"/>
                <w:i/>
                <w:sz w:val="20"/>
                <w:szCs w:val="20"/>
              </w:rPr>
            </w:pPr>
            <w:r w:rsidRPr="00B17AB4">
              <w:rPr>
                <w:rFonts w:cs="Arial"/>
                <w:i/>
                <w:sz w:val="20"/>
                <w:szCs w:val="20"/>
              </w:rPr>
              <w:t>Vlogo za obročno plačilo davka lahko vloži davčni zavezanec, ki je pravna oseba oziroma združenje oseb, vključno z družbo civilnega prava po tujem pravu, ki je brez pravne osebnosti, samostojni podjetnik posameznik in posameznik, ki samostojno opravlja dejavnost. Samostojni podjetnik posameznik in posameznik, ki samostojno opravlja dejavnost, lahko vloži vlogo le za davke, ki se nanašajo na opravljanje dejavnosti.</w:t>
            </w:r>
          </w:p>
        </w:tc>
      </w:tr>
      <w:tr w:rsidR="00EE4992" w:rsidRPr="00B17AB4" w14:paraId="14FB2490" w14:textId="77777777" w:rsidTr="00227F89">
        <w:trPr>
          <w:trHeight w:val="170"/>
        </w:trPr>
        <w:tc>
          <w:tcPr>
            <w:tcW w:w="2493" w:type="dxa"/>
            <w:shd w:val="clear" w:color="auto" w:fill="auto"/>
          </w:tcPr>
          <w:p w14:paraId="34CA3279" w14:textId="77777777" w:rsidR="00EE4992" w:rsidRPr="00B17AB4" w:rsidRDefault="00EE4992" w:rsidP="00EE4992">
            <w:pPr>
              <w:rPr>
                <w:rFonts w:cs="Arial"/>
                <w:sz w:val="20"/>
                <w:szCs w:val="20"/>
              </w:rPr>
            </w:pPr>
            <w:r w:rsidRPr="00B17AB4">
              <w:rPr>
                <w:rFonts w:cs="Arial"/>
                <w:sz w:val="20"/>
                <w:szCs w:val="20"/>
              </w:rPr>
              <w:t>Podatki o pooblaščencu:</w:t>
            </w:r>
          </w:p>
        </w:tc>
        <w:tc>
          <w:tcPr>
            <w:tcW w:w="6569" w:type="dxa"/>
            <w:shd w:val="clear" w:color="auto" w:fill="auto"/>
          </w:tcPr>
          <w:p w14:paraId="4BFF1CA8" w14:textId="77777777" w:rsidR="00EE4992" w:rsidRPr="00565931" w:rsidRDefault="00EE4992" w:rsidP="00EE4992">
            <w:pPr>
              <w:rPr>
                <w:rFonts w:cs="Arial"/>
                <w:i/>
                <w:sz w:val="20"/>
                <w:szCs w:val="20"/>
              </w:rPr>
            </w:pPr>
            <w:r w:rsidRPr="00B17AB4">
              <w:rPr>
                <w:rFonts w:cs="Arial"/>
                <w:i/>
                <w:sz w:val="20"/>
                <w:szCs w:val="20"/>
              </w:rPr>
              <w:t>Vpišejo se podatki o pooblaščencu, v kolikor davčni zavezanec vlaga vlogo po pooblaščencu.</w:t>
            </w:r>
            <w:r>
              <w:rPr>
                <w:rFonts w:cs="Arial"/>
                <w:i/>
                <w:sz w:val="20"/>
                <w:szCs w:val="20"/>
              </w:rPr>
              <w:t xml:space="preserve"> </w:t>
            </w:r>
            <w:r w:rsidRPr="00B17AB4">
              <w:rPr>
                <w:rFonts w:cs="Arial"/>
                <w:i/>
                <w:sz w:val="20"/>
                <w:szCs w:val="20"/>
              </w:rPr>
              <w:t xml:space="preserve">K vlogi se </w:t>
            </w:r>
            <w:r>
              <w:rPr>
                <w:rFonts w:cs="Arial"/>
                <w:i/>
                <w:sz w:val="20"/>
                <w:szCs w:val="20"/>
              </w:rPr>
              <w:t>priloži pooblastilo pooblaščencu</w:t>
            </w:r>
            <w:r w:rsidRPr="00B17AB4">
              <w:rPr>
                <w:rFonts w:cs="Arial"/>
                <w:i/>
                <w:sz w:val="20"/>
                <w:szCs w:val="20"/>
              </w:rPr>
              <w:t>.</w:t>
            </w:r>
          </w:p>
        </w:tc>
      </w:tr>
      <w:tr w:rsidR="006F5278" w:rsidRPr="00B17AB4" w14:paraId="143FF749" w14:textId="77777777" w:rsidTr="00ED6A13">
        <w:trPr>
          <w:trHeight w:val="488"/>
        </w:trPr>
        <w:tc>
          <w:tcPr>
            <w:tcW w:w="2493" w:type="dxa"/>
            <w:vMerge w:val="restart"/>
            <w:shd w:val="clear" w:color="auto" w:fill="auto"/>
          </w:tcPr>
          <w:p w14:paraId="01B65F64" w14:textId="77777777" w:rsidR="006F5278" w:rsidRPr="00B17AB4" w:rsidRDefault="006F5278" w:rsidP="00EE4992">
            <w:pPr>
              <w:rPr>
                <w:rFonts w:cs="Arial"/>
                <w:sz w:val="20"/>
                <w:szCs w:val="20"/>
              </w:rPr>
            </w:pPr>
            <w:r w:rsidRPr="00B17AB4">
              <w:rPr>
                <w:rFonts w:cs="Arial"/>
                <w:sz w:val="20"/>
                <w:szCs w:val="20"/>
              </w:rPr>
              <w:t>Podatki o zahtevku:</w:t>
            </w:r>
          </w:p>
        </w:tc>
        <w:tc>
          <w:tcPr>
            <w:tcW w:w="6569" w:type="dxa"/>
            <w:tcBorders>
              <w:bottom w:val="dashed" w:sz="4" w:space="0" w:color="auto"/>
            </w:tcBorders>
            <w:shd w:val="clear" w:color="auto" w:fill="auto"/>
          </w:tcPr>
          <w:p w14:paraId="0B1C2701" w14:textId="18C08E7B" w:rsidR="006F5278" w:rsidRDefault="00D90F76" w:rsidP="00EE4992">
            <w:pPr>
              <w:rPr>
                <w:rFonts w:cs="Arial"/>
                <w:i/>
                <w:sz w:val="20"/>
                <w:szCs w:val="20"/>
              </w:rPr>
            </w:pPr>
            <w:r>
              <w:rPr>
                <w:rFonts w:cs="Arial"/>
                <w:i/>
                <w:sz w:val="20"/>
                <w:szCs w:val="20"/>
              </w:rPr>
              <w:t>Vpiše se število obrokov.</w:t>
            </w:r>
            <w:r w:rsidR="006F5278" w:rsidRPr="00B17AB4">
              <w:rPr>
                <w:rFonts w:cs="Arial"/>
                <w:i/>
                <w:sz w:val="20"/>
                <w:szCs w:val="20"/>
              </w:rPr>
              <w:t xml:space="preserve"> </w:t>
            </w:r>
          </w:p>
          <w:p w14:paraId="6AB09B3A" w14:textId="172085A0" w:rsidR="00D90F76" w:rsidRPr="00D90F76" w:rsidRDefault="00D90F76" w:rsidP="00D90F76">
            <w:pPr>
              <w:rPr>
                <w:rFonts w:cs="Arial"/>
                <w:sz w:val="20"/>
                <w:szCs w:val="20"/>
              </w:rPr>
            </w:pPr>
          </w:p>
        </w:tc>
      </w:tr>
      <w:tr w:rsidR="006F5278" w:rsidRPr="00B17AB4" w14:paraId="319054B6" w14:textId="77777777" w:rsidTr="006F5278">
        <w:trPr>
          <w:trHeight w:val="2216"/>
        </w:trPr>
        <w:tc>
          <w:tcPr>
            <w:tcW w:w="2493" w:type="dxa"/>
            <w:vMerge/>
            <w:shd w:val="clear" w:color="auto" w:fill="auto"/>
          </w:tcPr>
          <w:p w14:paraId="74FE5E9E" w14:textId="77777777" w:rsidR="006F5278" w:rsidRPr="00B17AB4" w:rsidRDefault="006F5278" w:rsidP="00EE4992">
            <w:pPr>
              <w:rPr>
                <w:rFonts w:cs="Arial"/>
                <w:sz w:val="20"/>
                <w:szCs w:val="20"/>
              </w:rPr>
            </w:pPr>
          </w:p>
        </w:tc>
        <w:tc>
          <w:tcPr>
            <w:tcW w:w="6569" w:type="dxa"/>
            <w:tcBorders>
              <w:top w:val="dashed" w:sz="4" w:space="0" w:color="auto"/>
            </w:tcBorders>
            <w:shd w:val="clear" w:color="auto" w:fill="auto"/>
          </w:tcPr>
          <w:p w14:paraId="5D80CEF4" w14:textId="77777777" w:rsidR="006F5278" w:rsidRPr="00B17AB4" w:rsidRDefault="006F5278" w:rsidP="003F0704">
            <w:pPr>
              <w:spacing w:before="240"/>
              <w:rPr>
                <w:rFonts w:cs="Arial"/>
                <w:i/>
                <w:sz w:val="20"/>
                <w:szCs w:val="20"/>
              </w:rPr>
            </w:pPr>
            <w:r>
              <w:rPr>
                <w:rFonts w:cs="Arial"/>
                <w:i/>
                <w:sz w:val="20"/>
                <w:szCs w:val="20"/>
              </w:rPr>
              <w:t xml:space="preserve">Če zavezanec zahteva obročno plačilo na podlagi izdanega pravnomočnega </w:t>
            </w:r>
            <w:r w:rsidRPr="00532300">
              <w:rPr>
                <w:rFonts w:cs="Arial"/>
                <w:i/>
                <w:sz w:val="20"/>
                <w:szCs w:val="20"/>
              </w:rPr>
              <w:t>sklepa o potrditvi sporazuma o preventivnem finančnem prestrukturiranju oziroma pravnomočnega sklepa o potrjeni poenostavljeni prisilni poravnavi</w:t>
            </w:r>
            <w:r>
              <w:rPr>
                <w:rFonts w:cs="Arial"/>
                <w:i/>
                <w:sz w:val="20"/>
                <w:szCs w:val="20"/>
              </w:rPr>
              <w:t xml:space="preserve">, to ustrezno označi. Pri tem lahko zavezanec zahteva obročno plačilo </w:t>
            </w:r>
            <w:r w:rsidRPr="00532300">
              <w:rPr>
                <w:rFonts w:cs="Arial"/>
                <w:i/>
                <w:sz w:val="20"/>
                <w:szCs w:val="20"/>
              </w:rPr>
              <w:t>samo za obveznosti, ki so nastale do začetka postopka preventivnega finančnega prestrukturiranja oziroma do začetka postopka poenostavljene prisilne poravnave</w:t>
            </w:r>
            <w:r>
              <w:rPr>
                <w:rFonts w:cs="Arial"/>
                <w:i/>
                <w:sz w:val="20"/>
                <w:szCs w:val="20"/>
              </w:rPr>
              <w:t>.</w:t>
            </w:r>
          </w:p>
        </w:tc>
      </w:tr>
      <w:tr w:rsidR="00EE4992" w:rsidRPr="00B17AB4" w14:paraId="643C2CBF" w14:textId="77777777" w:rsidTr="00565931">
        <w:trPr>
          <w:trHeight w:val="580"/>
        </w:trPr>
        <w:tc>
          <w:tcPr>
            <w:tcW w:w="2493" w:type="dxa"/>
            <w:shd w:val="clear" w:color="auto" w:fill="auto"/>
          </w:tcPr>
          <w:p w14:paraId="090E9D71" w14:textId="77777777" w:rsidR="00EE4992" w:rsidRPr="00B17AB4" w:rsidRDefault="00EE4992" w:rsidP="00EE4992">
            <w:pPr>
              <w:rPr>
                <w:rFonts w:cs="Arial"/>
                <w:sz w:val="20"/>
                <w:szCs w:val="20"/>
              </w:rPr>
            </w:pPr>
            <w:r w:rsidRPr="00B17AB4">
              <w:rPr>
                <w:rFonts w:cs="Arial"/>
                <w:sz w:val="20"/>
                <w:szCs w:val="20"/>
              </w:rPr>
              <w:t>Podatki o davčni obveznosti:</w:t>
            </w:r>
          </w:p>
        </w:tc>
        <w:tc>
          <w:tcPr>
            <w:tcW w:w="6569" w:type="dxa"/>
            <w:shd w:val="clear" w:color="auto" w:fill="auto"/>
          </w:tcPr>
          <w:p w14:paraId="10BAAAEE" w14:textId="02E9AF7C" w:rsidR="00EE4992" w:rsidRPr="00B17AB4" w:rsidRDefault="00EE4992" w:rsidP="002A5DAC">
            <w:pPr>
              <w:rPr>
                <w:rFonts w:cs="Arial"/>
                <w:i/>
                <w:sz w:val="20"/>
                <w:szCs w:val="20"/>
              </w:rPr>
            </w:pPr>
            <w:r w:rsidRPr="00B17AB4">
              <w:rPr>
                <w:rFonts w:cs="Arial"/>
                <w:i/>
                <w:sz w:val="20"/>
                <w:szCs w:val="20"/>
              </w:rPr>
              <w:t>V prazna polja davčni zavezanec navede, za kater</w:t>
            </w:r>
            <w:r w:rsidR="00F7040A">
              <w:rPr>
                <w:rFonts w:cs="Arial"/>
                <w:i/>
                <w:sz w:val="20"/>
                <w:szCs w:val="20"/>
              </w:rPr>
              <w:t>e</w:t>
            </w:r>
            <w:r w:rsidRPr="00B17AB4">
              <w:rPr>
                <w:rFonts w:cs="Arial"/>
                <w:i/>
                <w:sz w:val="20"/>
                <w:szCs w:val="20"/>
              </w:rPr>
              <w:t xml:space="preserve">  davk</w:t>
            </w:r>
            <w:r w:rsidR="00F7040A">
              <w:rPr>
                <w:rFonts w:cs="Arial"/>
                <w:i/>
                <w:sz w:val="20"/>
                <w:szCs w:val="20"/>
              </w:rPr>
              <w:t>e</w:t>
            </w:r>
            <w:r w:rsidR="002A5DAC">
              <w:rPr>
                <w:rFonts w:cs="Arial"/>
                <w:i/>
                <w:sz w:val="20"/>
                <w:szCs w:val="20"/>
              </w:rPr>
              <w:t xml:space="preserve"> zahteva obročno</w:t>
            </w:r>
            <w:r w:rsidR="00D90F76">
              <w:rPr>
                <w:rFonts w:cs="Arial"/>
                <w:i/>
                <w:sz w:val="20"/>
                <w:szCs w:val="20"/>
              </w:rPr>
              <w:t xml:space="preserve"> plačilo.</w:t>
            </w:r>
          </w:p>
        </w:tc>
      </w:tr>
      <w:tr w:rsidR="00EE4992" w:rsidRPr="00B17AB4" w14:paraId="0B16EDF7" w14:textId="77777777" w:rsidTr="00227F89">
        <w:trPr>
          <w:trHeight w:val="170"/>
        </w:trPr>
        <w:tc>
          <w:tcPr>
            <w:tcW w:w="2493" w:type="dxa"/>
            <w:shd w:val="clear" w:color="auto" w:fill="auto"/>
          </w:tcPr>
          <w:p w14:paraId="738D95BE" w14:textId="77777777" w:rsidR="00EE4992" w:rsidRPr="00B17AB4" w:rsidRDefault="00EE4992" w:rsidP="00EE4992">
            <w:pPr>
              <w:rPr>
                <w:rFonts w:cs="Arial"/>
                <w:sz w:val="20"/>
                <w:szCs w:val="20"/>
              </w:rPr>
            </w:pPr>
            <w:r w:rsidRPr="00B17AB4">
              <w:rPr>
                <w:rFonts w:cs="Arial"/>
                <w:sz w:val="20"/>
                <w:szCs w:val="20"/>
              </w:rPr>
              <w:t>Podatki o opravljanju sezonske dejavnosti:</w:t>
            </w:r>
          </w:p>
        </w:tc>
        <w:tc>
          <w:tcPr>
            <w:tcW w:w="6569" w:type="dxa"/>
            <w:shd w:val="clear" w:color="auto" w:fill="auto"/>
          </w:tcPr>
          <w:p w14:paraId="19B68B9E" w14:textId="77777777" w:rsidR="00EE4992" w:rsidRPr="00B17AB4" w:rsidRDefault="00EE4992" w:rsidP="00EE4992">
            <w:pPr>
              <w:rPr>
                <w:rFonts w:cs="Arial"/>
                <w:i/>
                <w:sz w:val="20"/>
                <w:szCs w:val="20"/>
              </w:rPr>
            </w:pPr>
            <w:r w:rsidRPr="00B17AB4">
              <w:rPr>
                <w:rFonts w:cs="Arial"/>
                <w:i/>
                <w:sz w:val="20"/>
                <w:szCs w:val="20"/>
              </w:rPr>
              <w:t xml:space="preserve">Če davčni zavezanec opravlja sezonsko dejavnost, mora to ustrezno označiti in navesti obdobje, v katerem opravlja sezonsko dejavnost (tj. dejavnost, ki je skoncentrirana v določenem obdobju poslovnega leta).  </w:t>
            </w:r>
          </w:p>
        </w:tc>
      </w:tr>
      <w:tr w:rsidR="00EE4992" w:rsidRPr="001E0FC7" w14:paraId="0992022A" w14:textId="77777777" w:rsidTr="00585B6C">
        <w:trPr>
          <w:trHeight w:val="170"/>
        </w:trPr>
        <w:tc>
          <w:tcPr>
            <w:tcW w:w="2493" w:type="dxa"/>
            <w:shd w:val="clear" w:color="auto" w:fill="auto"/>
          </w:tcPr>
          <w:p w14:paraId="09B3CDBD" w14:textId="4BAF87C9" w:rsidR="00EE4992" w:rsidRDefault="00EE4992" w:rsidP="00EE4992">
            <w:pPr>
              <w:tabs>
                <w:tab w:val="center" w:pos="4536"/>
                <w:tab w:val="right" w:pos="9072"/>
              </w:tabs>
              <w:spacing w:after="0" w:line="240" w:lineRule="auto"/>
              <w:rPr>
                <w:rFonts w:ascii="Calibri" w:eastAsia="Times New Roman" w:hAnsi="Calibri" w:cs="Arial"/>
                <w:b/>
                <w:sz w:val="20"/>
                <w:szCs w:val="20"/>
              </w:rPr>
            </w:pPr>
            <w:r w:rsidRPr="00227F89">
              <w:rPr>
                <w:rFonts w:ascii="Calibri" w:eastAsia="Times New Roman" w:hAnsi="Calibri" w:cs="Arial"/>
                <w:b/>
                <w:sz w:val="20"/>
                <w:szCs w:val="20"/>
              </w:rPr>
              <w:t>Dokazovanje kriterijev za dovolitev obročnega plačila davka</w:t>
            </w:r>
            <w:r>
              <w:rPr>
                <w:rFonts w:ascii="Calibri" w:eastAsia="Times New Roman" w:hAnsi="Calibri" w:cs="Arial"/>
                <w:b/>
                <w:sz w:val="20"/>
                <w:szCs w:val="20"/>
              </w:rPr>
              <w:t xml:space="preserve">: </w:t>
            </w:r>
          </w:p>
          <w:p w14:paraId="51E87731" w14:textId="77777777" w:rsidR="00EE4992" w:rsidRDefault="00EE4992" w:rsidP="00EE4992">
            <w:pPr>
              <w:tabs>
                <w:tab w:val="center" w:pos="4536"/>
                <w:tab w:val="right" w:pos="9072"/>
              </w:tabs>
              <w:spacing w:after="0" w:line="240" w:lineRule="auto"/>
              <w:rPr>
                <w:rFonts w:ascii="Calibri" w:eastAsia="Times New Roman" w:hAnsi="Calibri" w:cs="Arial"/>
                <w:b/>
                <w:sz w:val="20"/>
                <w:szCs w:val="20"/>
              </w:rPr>
            </w:pPr>
          </w:p>
        </w:tc>
        <w:tc>
          <w:tcPr>
            <w:tcW w:w="6569" w:type="dxa"/>
            <w:shd w:val="clear" w:color="auto" w:fill="auto"/>
          </w:tcPr>
          <w:p w14:paraId="5E318118" w14:textId="77777777" w:rsidR="00EE4992" w:rsidRPr="00FB1987" w:rsidRDefault="00EE4992" w:rsidP="00EE4992">
            <w:pPr>
              <w:tabs>
                <w:tab w:val="center" w:pos="4536"/>
                <w:tab w:val="right" w:pos="9072"/>
              </w:tabs>
              <w:spacing w:after="0" w:line="240" w:lineRule="auto"/>
              <w:rPr>
                <w:rFonts w:ascii="Calibri" w:eastAsia="Times New Roman" w:hAnsi="Calibri" w:cs="Arial"/>
                <w:sz w:val="20"/>
                <w:szCs w:val="20"/>
              </w:rPr>
            </w:pPr>
            <w:r w:rsidRPr="00FB1987">
              <w:rPr>
                <w:rFonts w:ascii="Calibri" w:eastAsia="Times New Roman" w:hAnsi="Calibri" w:cs="Arial"/>
                <w:sz w:val="20"/>
                <w:szCs w:val="20"/>
              </w:rPr>
              <w:t xml:space="preserve">Vlogi se ugodi, če sta </w:t>
            </w:r>
            <w:r w:rsidRPr="006F5278">
              <w:rPr>
                <w:rFonts w:ascii="Calibri" w:eastAsia="Times New Roman" w:hAnsi="Calibri" w:cs="Arial"/>
                <w:b/>
                <w:sz w:val="20"/>
                <w:szCs w:val="20"/>
              </w:rPr>
              <w:t xml:space="preserve">hkrati </w:t>
            </w:r>
            <w:r w:rsidRPr="00FB1987">
              <w:rPr>
                <w:rFonts w:ascii="Calibri" w:eastAsia="Times New Roman" w:hAnsi="Calibri" w:cs="Arial"/>
                <w:sz w:val="20"/>
                <w:szCs w:val="20"/>
              </w:rPr>
              <w:t>izpolnjena dva kriterija:</w:t>
            </w:r>
          </w:p>
          <w:p w14:paraId="2C325DF2" w14:textId="77777777" w:rsidR="00EE4992" w:rsidRPr="00B24791" w:rsidRDefault="00EE4992" w:rsidP="00EE4992">
            <w:pPr>
              <w:pStyle w:val="Odstavekseznama"/>
              <w:numPr>
                <w:ilvl w:val="0"/>
                <w:numId w:val="2"/>
              </w:numPr>
              <w:tabs>
                <w:tab w:val="center" w:pos="4536"/>
                <w:tab w:val="right" w:pos="9072"/>
              </w:tabs>
              <w:spacing w:after="0" w:line="240" w:lineRule="auto"/>
              <w:rPr>
                <w:rFonts w:ascii="Calibri" w:eastAsia="Times New Roman" w:hAnsi="Calibri" w:cs="Arial"/>
                <w:b/>
                <w:sz w:val="20"/>
                <w:szCs w:val="20"/>
              </w:rPr>
            </w:pPr>
            <w:r w:rsidRPr="00B24791">
              <w:rPr>
                <w:rFonts w:ascii="Calibri" w:eastAsia="Times New Roman" w:hAnsi="Calibri" w:cs="Arial"/>
                <w:sz w:val="20"/>
                <w:szCs w:val="20"/>
              </w:rPr>
              <w:t xml:space="preserve">davčnemu zavezancu </w:t>
            </w:r>
            <w:r w:rsidRPr="00B24791">
              <w:rPr>
                <w:rFonts w:ascii="Calibri" w:eastAsia="Times New Roman" w:hAnsi="Calibri" w:cs="Arial"/>
                <w:b/>
                <w:sz w:val="20"/>
                <w:szCs w:val="20"/>
              </w:rPr>
              <w:t xml:space="preserve">grozi hujša gospodarska škoda </w:t>
            </w:r>
            <w:r w:rsidRPr="00B24791">
              <w:rPr>
                <w:rFonts w:ascii="Calibri" w:eastAsia="Times New Roman" w:hAnsi="Calibri" w:cs="Arial"/>
                <w:sz w:val="20"/>
                <w:szCs w:val="20"/>
              </w:rPr>
              <w:t xml:space="preserve">(zaradi </w:t>
            </w:r>
            <w:r w:rsidRPr="00B24791">
              <w:rPr>
                <w:rFonts w:ascii="Calibri" w:eastAsia="Times New Roman" w:hAnsi="Calibri" w:cs="Arial"/>
                <w:sz w:val="20"/>
                <w:szCs w:val="20"/>
                <w:u w:val="single"/>
              </w:rPr>
              <w:t>trajnejše nelikvidnosti</w:t>
            </w:r>
            <w:r w:rsidRPr="00565931">
              <w:rPr>
                <w:rFonts w:ascii="Calibri" w:eastAsia="Times New Roman" w:hAnsi="Calibri" w:cs="Arial"/>
                <w:sz w:val="20"/>
                <w:szCs w:val="20"/>
              </w:rPr>
              <w:t xml:space="preserve">  </w:t>
            </w:r>
            <w:r>
              <w:rPr>
                <w:rFonts w:ascii="Calibri" w:eastAsia="Times New Roman" w:hAnsi="Calibri" w:cs="Arial"/>
                <w:sz w:val="20"/>
                <w:szCs w:val="20"/>
              </w:rPr>
              <w:t>ALI</w:t>
            </w:r>
            <w:r w:rsidRPr="00B24791">
              <w:rPr>
                <w:rFonts w:ascii="Calibri" w:eastAsia="Times New Roman" w:hAnsi="Calibri" w:cs="Arial"/>
                <w:sz w:val="20"/>
                <w:szCs w:val="20"/>
              </w:rPr>
              <w:t xml:space="preserve"> </w:t>
            </w:r>
            <w:r w:rsidRPr="00B24791">
              <w:rPr>
                <w:rFonts w:ascii="Calibri" w:eastAsia="Times New Roman" w:hAnsi="Calibri" w:cs="Arial"/>
                <w:sz w:val="20"/>
                <w:szCs w:val="20"/>
                <w:u w:val="single"/>
              </w:rPr>
              <w:t>izgube s</w:t>
            </w:r>
            <w:r>
              <w:rPr>
                <w:rFonts w:ascii="Calibri" w:eastAsia="Times New Roman" w:hAnsi="Calibri" w:cs="Arial"/>
                <w:sz w:val="20"/>
                <w:szCs w:val="20"/>
                <w:u w:val="single"/>
              </w:rPr>
              <w:t>posobnosti pridobivanja prihodkov</w:t>
            </w:r>
            <w:r w:rsidRPr="00B24791">
              <w:rPr>
                <w:rFonts w:ascii="Calibri" w:eastAsia="Times New Roman" w:hAnsi="Calibri" w:cs="Arial"/>
                <w:sz w:val="20"/>
                <w:szCs w:val="20"/>
              </w:rPr>
              <w:t>),</w:t>
            </w:r>
          </w:p>
          <w:p w14:paraId="234AD9CB" w14:textId="3D8C9E68" w:rsidR="00EE4992" w:rsidRPr="00B24791" w:rsidRDefault="00EE4992" w:rsidP="00EE4992">
            <w:pPr>
              <w:pStyle w:val="Odstavekseznama"/>
              <w:numPr>
                <w:ilvl w:val="0"/>
                <w:numId w:val="2"/>
              </w:numPr>
              <w:tabs>
                <w:tab w:val="center" w:pos="4536"/>
                <w:tab w:val="right" w:pos="9072"/>
              </w:tabs>
              <w:spacing w:after="0" w:line="240" w:lineRule="auto"/>
              <w:rPr>
                <w:rFonts w:ascii="Calibri" w:eastAsia="Times New Roman" w:hAnsi="Calibri" w:cs="Arial"/>
                <w:b/>
                <w:sz w:val="20"/>
                <w:szCs w:val="20"/>
              </w:rPr>
            </w:pPr>
            <w:r w:rsidRPr="00B24791">
              <w:rPr>
                <w:rFonts w:ascii="Calibri" w:eastAsia="Times New Roman" w:hAnsi="Calibri" w:cs="Arial"/>
                <w:sz w:val="20"/>
                <w:szCs w:val="20"/>
              </w:rPr>
              <w:t>z obročnim plačilom davka bi se</w:t>
            </w:r>
            <w:r w:rsidRPr="00B24791">
              <w:rPr>
                <w:rFonts w:ascii="Calibri" w:eastAsia="Times New Roman" w:hAnsi="Calibri" w:cs="Arial"/>
                <w:b/>
                <w:sz w:val="20"/>
                <w:szCs w:val="20"/>
              </w:rPr>
              <w:t xml:space="preserve"> hujša gospodarska škoda lahko preprečila</w:t>
            </w:r>
          </w:p>
        </w:tc>
      </w:tr>
      <w:tr w:rsidR="00EE4992" w:rsidRPr="00B17AB4" w14:paraId="04E7EBF7" w14:textId="77777777" w:rsidTr="00227F89">
        <w:trPr>
          <w:trHeight w:val="170"/>
        </w:trPr>
        <w:tc>
          <w:tcPr>
            <w:tcW w:w="2493" w:type="dxa"/>
            <w:shd w:val="clear" w:color="auto" w:fill="auto"/>
          </w:tcPr>
          <w:p w14:paraId="4169A853" w14:textId="77777777" w:rsidR="00EE4992" w:rsidRPr="00565931" w:rsidRDefault="00EE4992" w:rsidP="00EE4992">
            <w:pPr>
              <w:rPr>
                <w:rFonts w:cs="Arial"/>
                <w:sz w:val="20"/>
                <w:szCs w:val="20"/>
              </w:rPr>
            </w:pPr>
            <w:r w:rsidRPr="00565931">
              <w:rPr>
                <w:rFonts w:cs="Arial"/>
                <w:sz w:val="20"/>
                <w:szCs w:val="20"/>
              </w:rPr>
              <w:t>Trajnejša nelikvidnost:</w:t>
            </w:r>
          </w:p>
          <w:p w14:paraId="0D6B524B" w14:textId="77777777" w:rsidR="00EE4992" w:rsidRPr="00B17AB4" w:rsidRDefault="00EE4992" w:rsidP="00EE4992">
            <w:pPr>
              <w:rPr>
                <w:rFonts w:cs="Arial"/>
                <w:sz w:val="20"/>
                <w:szCs w:val="20"/>
              </w:rPr>
            </w:pPr>
          </w:p>
          <w:p w14:paraId="6940CE6D" w14:textId="77777777" w:rsidR="00EE4992" w:rsidRPr="00B17AB4" w:rsidRDefault="00EE4992" w:rsidP="00EE4992">
            <w:pPr>
              <w:rPr>
                <w:rFonts w:cs="Arial"/>
                <w:sz w:val="20"/>
                <w:szCs w:val="20"/>
              </w:rPr>
            </w:pPr>
          </w:p>
          <w:p w14:paraId="763C1ADD" w14:textId="77777777" w:rsidR="00EE4992" w:rsidRPr="00B17AB4" w:rsidRDefault="00EE4992" w:rsidP="00EE4992">
            <w:pPr>
              <w:rPr>
                <w:rFonts w:cs="Arial"/>
                <w:sz w:val="20"/>
                <w:szCs w:val="20"/>
              </w:rPr>
            </w:pPr>
          </w:p>
          <w:p w14:paraId="7ADF865E" w14:textId="77777777" w:rsidR="00EE4992" w:rsidRPr="00B17AB4" w:rsidRDefault="00EE4992" w:rsidP="00EE4992">
            <w:pPr>
              <w:rPr>
                <w:rFonts w:cs="Arial"/>
                <w:sz w:val="20"/>
                <w:szCs w:val="20"/>
              </w:rPr>
            </w:pPr>
          </w:p>
          <w:p w14:paraId="6C32CE8A" w14:textId="77777777" w:rsidR="00EE4992" w:rsidRPr="00B17AB4" w:rsidRDefault="00EE4992" w:rsidP="00EE4992">
            <w:pPr>
              <w:rPr>
                <w:rFonts w:cs="Arial"/>
                <w:sz w:val="20"/>
                <w:szCs w:val="20"/>
              </w:rPr>
            </w:pPr>
          </w:p>
          <w:p w14:paraId="742A70DA" w14:textId="77777777" w:rsidR="00EE4992" w:rsidRPr="00B17AB4" w:rsidRDefault="00EE4992" w:rsidP="00EE4992">
            <w:pPr>
              <w:rPr>
                <w:rFonts w:cs="Arial"/>
                <w:sz w:val="20"/>
                <w:szCs w:val="20"/>
              </w:rPr>
            </w:pPr>
          </w:p>
          <w:p w14:paraId="1B384A9E" w14:textId="77777777" w:rsidR="00EE4992" w:rsidRPr="00B17AB4" w:rsidRDefault="00EE4992" w:rsidP="00EE4992">
            <w:pPr>
              <w:rPr>
                <w:rFonts w:cs="Arial"/>
                <w:sz w:val="20"/>
                <w:szCs w:val="20"/>
              </w:rPr>
            </w:pPr>
            <w:r w:rsidRPr="00B17AB4">
              <w:rPr>
                <w:rFonts w:cs="Arial"/>
                <w:sz w:val="20"/>
                <w:szCs w:val="20"/>
              </w:rPr>
              <w:t>Trajnejša nelikvidnost:</w:t>
            </w:r>
          </w:p>
        </w:tc>
        <w:tc>
          <w:tcPr>
            <w:tcW w:w="6569" w:type="dxa"/>
            <w:shd w:val="clear" w:color="auto" w:fill="auto"/>
          </w:tcPr>
          <w:p w14:paraId="599346C5" w14:textId="77777777" w:rsidR="00EE4992" w:rsidRDefault="00EE4992" w:rsidP="00EE4992">
            <w:pPr>
              <w:rPr>
                <w:rFonts w:cs="Arial"/>
                <w:i/>
                <w:sz w:val="20"/>
                <w:szCs w:val="20"/>
              </w:rPr>
            </w:pPr>
            <w:r w:rsidRPr="00B17AB4">
              <w:rPr>
                <w:rFonts w:cs="Arial"/>
                <w:i/>
                <w:sz w:val="20"/>
                <w:szCs w:val="20"/>
              </w:rPr>
              <w:lastRenderedPageBreak/>
              <w:t>Davčni zavezanec mora izkazati, da ni sposoben pravočasno izpolnjevati svojih zapadlih obveznosti. To lahko izkazuje s podatki iz bilance stanja, izkaza poslovnega izida in izpiskov o prometu in stanju na transakcijskih računih ter o morebitnih privarčevanih ali vezanih sredstvih pri bankah za obdobje šestih mesecev pred vložitvijo vloge ali z drugimi dejstvi.</w:t>
            </w:r>
          </w:p>
          <w:p w14:paraId="020ED653" w14:textId="77777777" w:rsidR="00EE4992" w:rsidRPr="00B17AB4" w:rsidRDefault="00EE4992" w:rsidP="00EE4992">
            <w:pPr>
              <w:rPr>
                <w:rFonts w:cs="Arial"/>
                <w:i/>
                <w:sz w:val="20"/>
                <w:szCs w:val="20"/>
              </w:rPr>
            </w:pPr>
            <w:r w:rsidRPr="00B17AB4">
              <w:rPr>
                <w:rFonts w:cs="Arial"/>
                <w:i/>
                <w:sz w:val="20"/>
                <w:szCs w:val="20"/>
              </w:rPr>
              <w:t>Če davčni zavezanec ne oddaja letnih poročil v obliki, ki vsebuje navedene podatke iz bilance stanja in izkaza poslov</w:t>
            </w:r>
            <w:r>
              <w:rPr>
                <w:rFonts w:cs="Arial"/>
                <w:i/>
                <w:sz w:val="20"/>
                <w:szCs w:val="20"/>
              </w:rPr>
              <w:t xml:space="preserve">nega izida, </w:t>
            </w:r>
            <w:r w:rsidRPr="00B17AB4">
              <w:rPr>
                <w:rFonts w:cs="Arial"/>
                <w:i/>
                <w:sz w:val="20"/>
                <w:szCs w:val="20"/>
              </w:rPr>
              <w:t xml:space="preserve"> navede zgolj po</w:t>
            </w:r>
            <w:r>
              <w:rPr>
                <w:rFonts w:cs="Arial"/>
                <w:i/>
                <w:sz w:val="20"/>
                <w:szCs w:val="20"/>
              </w:rPr>
              <w:t>datke iz transakcijskih računov.</w:t>
            </w:r>
          </w:p>
          <w:p w14:paraId="0E40F111" w14:textId="77777777" w:rsidR="00EE4992" w:rsidRPr="00B17AB4" w:rsidRDefault="00EE4992" w:rsidP="00EE4992">
            <w:pPr>
              <w:rPr>
                <w:rFonts w:cs="Arial"/>
                <w:i/>
                <w:sz w:val="20"/>
                <w:szCs w:val="20"/>
              </w:rPr>
            </w:pPr>
            <w:r w:rsidRPr="00B17AB4">
              <w:rPr>
                <w:rFonts w:cs="Arial"/>
                <w:i/>
                <w:sz w:val="20"/>
                <w:szCs w:val="20"/>
              </w:rPr>
              <w:lastRenderedPageBreak/>
              <w:t xml:space="preserve">Bilanco stanja in izkaz poslovnega izida je treba obvezno priložiti kot prilogo k vlogi. </w:t>
            </w:r>
          </w:p>
          <w:p w14:paraId="6C6CD485" w14:textId="77777777" w:rsidR="006F5278" w:rsidRDefault="00EE4992" w:rsidP="006F5278">
            <w:pPr>
              <w:spacing w:after="0"/>
              <w:rPr>
                <w:rFonts w:cs="Arial"/>
                <w:i/>
                <w:sz w:val="20"/>
                <w:szCs w:val="20"/>
              </w:rPr>
            </w:pPr>
            <w:r w:rsidRPr="00B17AB4">
              <w:rPr>
                <w:rFonts w:cs="Arial"/>
                <w:i/>
                <w:sz w:val="20"/>
                <w:szCs w:val="20"/>
              </w:rPr>
              <w:t xml:space="preserve">Trajnejšo nelikvidnost lahko davčni zavezanec izkazuje z izpiski o prometu in stanju na transakcijskih računih. </w:t>
            </w:r>
          </w:p>
          <w:p w14:paraId="2621DDC4" w14:textId="77777777" w:rsidR="00EE4992" w:rsidRDefault="00EE4992" w:rsidP="006F5278">
            <w:pPr>
              <w:spacing w:after="0"/>
              <w:rPr>
                <w:rFonts w:cs="Arial"/>
                <w:i/>
                <w:sz w:val="20"/>
                <w:szCs w:val="20"/>
              </w:rPr>
            </w:pPr>
            <w:r w:rsidRPr="00B17AB4">
              <w:rPr>
                <w:rFonts w:cs="Arial"/>
                <w:i/>
                <w:sz w:val="20"/>
                <w:szCs w:val="20"/>
              </w:rPr>
              <w:t>Izpiske o prometu in stanju na transakcijskih računih ter o morebitnih privarčevanih ali vezanih sredstvih pri bankah v tujini je treba obvezno priložiti kot prilogo k vlogi.</w:t>
            </w:r>
          </w:p>
          <w:p w14:paraId="7C456DF5" w14:textId="77777777" w:rsidR="006F5278" w:rsidRPr="00B17AB4" w:rsidRDefault="006F5278" w:rsidP="006F5278">
            <w:pPr>
              <w:spacing w:after="0"/>
              <w:rPr>
                <w:rFonts w:cs="Arial"/>
                <w:i/>
                <w:sz w:val="20"/>
                <w:szCs w:val="20"/>
              </w:rPr>
            </w:pPr>
          </w:p>
          <w:p w14:paraId="0E985455" w14:textId="77777777" w:rsidR="00EE4992" w:rsidRPr="00B17AB4" w:rsidRDefault="00EE4992" w:rsidP="00EE4992">
            <w:pPr>
              <w:rPr>
                <w:rFonts w:cs="Arial"/>
                <w:i/>
                <w:sz w:val="20"/>
                <w:szCs w:val="20"/>
              </w:rPr>
            </w:pPr>
            <w:r w:rsidRPr="00B17AB4">
              <w:rPr>
                <w:rFonts w:cs="Arial"/>
                <w:i/>
                <w:sz w:val="20"/>
                <w:szCs w:val="20"/>
              </w:rPr>
              <w:t>Če se trajnejša nelikvidnost dokazuje z drugimi dejstvi, jih je treba navesti in zanje priložiti ustrezna dokazila.</w:t>
            </w:r>
          </w:p>
        </w:tc>
      </w:tr>
      <w:tr w:rsidR="00EE4992" w:rsidRPr="00B17AB4" w14:paraId="7534A1F7" w14:textId="77777777" w:rsidTr="00227F89">
        <w:trPr>
          <w:trHeight w:val="170"/>
        </w:trPr>
        <w:tc>
          <w:tcPr>
            <w:tcW w:w="2493" w:type="dxa"/>
            <w:shd w:val="clear" w:color="auto" w:fill="auto"/>
          </w:tcPr>
          <w:p w14:paraId="50542737" w14:textId="77777777" w:rsidR="00EE4992" w:rsidRPr="00565931" w:rsidRDefault="00EE4992" w:rsidP="00EE4992">
            <w:pPr>
              <w:rPr>
                <w:rFonts w:cs="Arial"/>
                <w:sz w:val="20"/>
                <w:szCs w:val="20"/>
              </w:rPr>
            </w:pPr>
            <w:r w:rsidRPr="00565931">
              <w:rPr>
                <w:rFonts w:cs="Arial"/>
                <w:sz w:val="20"/>
                <w:szCs w:val="20"/>
              </w:rPr>
              <w:lastRenderedPageBreak/>
              <w:t>Izguba sposobnosti pridobivanja prihodkov iz razlogov, na katere davčni zavezanec ni mogel vplivati</w:t>
            </w:r>
          </w:p>
        </w:tc>
        <w:tc>
          <w:tcPr>
            <w:tcW w:w="6569" w:type="dxa"/>
            <w:shd w:val="clear" w:color="auto" w:fill="auto"/>
          </w:tcPr>
          <w:p w14:paraId="47714392" w14:textId="77777777" w:rsidR="00EE4992" w:rsidRPr="00B17AB4" w:rsidRDefault="00EE4992" w:rsidP="00EE4992">
            <w:pPr>
              <w:rPr>
                <w:rFonts w:cs="Arial"/>
                <w:i/>
                <w:sz w:val="20"/>
                <w:szCs w:val="20"/>
              </w:rPr>
            </w:pPr>
            <w:r w:rsidRPr="00B17AB4">
              <w:rPr>
                <w:rFonts w:cs="Arial"/>
                <w:i/>
                <w:sz w:val="20"/>
                <w:szCs w:val="20"/>
              </w:rPr>
              <w:t xml:space="preserve">Kriterij izgube sposobnosti pridobivanja prihodkov, na katero zavezanec ni mogel vplivati, se dokazuje z naslednjimi okoliščinami: </w:t>
            </w:r>
          </w:p>
          <w:p w14:paraId="5F3A02AB" w14:textId="77777777" w:rsidR="00EE4992" w:rsidRPr="00B17AB4" w:rsidRDefault="00EE4992" w:rsidP="006F5278">
            <w:pPr>
              <w:numPr>
                <w:ilvl w:val="0"/>
                <w:numId w:val="1"/>
              </w:numPr>
              <w:spacing w:after="0" w:line="360" w:lineRule="auto"/>
              <w:rPr>
                <w:rFonts w:cs="Arial"/>
                <w:i/>
                <w:sz w:val="20"/>
                <w:szCs w:val="20"/>
              </w:rPr>
            </w:pPr>
            <w:r w:rsidRPr="00B17AB4">
              <w:rPr>
                <w:rFonts w:cs="Arial"/>
                <w:i/>
                <w:sz w:val="20"/>
                <w:szCs w:val="20"/>
              </w:rPr>
              <w:t xml:space="preserve">začeti stečajni postopki ali postopki prisilne poravnave pri ključnih poslovnih partnerjih davčnega zavezanca; </w:t>
            </w:r>
          </w:p>
          <w:p w14:paraId="4F8530AA" w14:textId="77777777" w:rsidR="00EE4992" w:rsidRPr="00B17AB4" w:rsidRDefault="00EE4992" w:rsidP="006F5278">
            <w:pPr>
              <w:numPr>
                <w:ilvl w:val="0"/>
                <w:numId w:val="1"/>
              </w:numPr>
              <w:spacing w:after="0" w:line="360" w:lineRule="auto"/>
              <w:rPr>
                <w:rFonts w:cs="Arial"/>
                <w:i/>
                <w:sz w:val="20"/>
                <w:szCs w:val="20"/>
              </w:rPr>
            </w:pPr>
            <w:r w:rsidRPr="00B17AB4">
              <w:rPr>
                <w:rFonts w:cs="Arial"/>
                <w:i/>
                <w:sz w:val="20"/>
                <w:szCs w:val="20"/>
              </w:rPr>
              <w:t xml:space="preserve">ukrepi tuje države, na trgu katere ustvarjam prihodke, zaradi katerih bi prišlo do trajnejše nelikvidnosti; </w:t>
            </w:r>
          </w:p>
          <w:p w14:paraId="43A8BBBB" w14:textId="77777777" w:rsidR="00EE4992" w:rsidRPr="00B17AB4" w:rsidRDefault="00EE4992" w:rsidP="006F5278">
            <w:pPr>
              <w:numPr>
                <w:ilvl w:val="0"/>
                <w:numId w:val="1"/>
              </w:numPr>
              <w:spacing w:after="0" w:line="360" w:lineRule="auto"/>
              <w:rPr>
                <w:rFonts w:cs="Arial"/>
                <w:i/>
                <w:sz w:val="20"/>
                <w:szCs w:val="20"/>
              </w:rPr>
            </w:pPr>
            <w:r w:rsidRPr="00B17AB4">
              <w:rPr>
                <w:rFonts w:cs="Arial"/>
                <w:i/>
                <w:sz w:val="20"/>
                <w:szCs w:val="20"/>
              </w:rPr>
              <w:t>dlje časa trajajoča nezmožnost opravljanja dejavnosti zaradi bolezni;</w:t>
            </w:r>
          </w:p>
          <w:p w14:paraId="3B36C3D5" w14:textId="77777777" w:rsidR="00EE4992" w:rsidRPr="00B17AB4" w:rsidRDefault="00EE4992" w:rsidP="006F5278">
            <w:pPr>
              <w:numPr>
                <w:ilvl w:val="0"/>
                <w:numId w:val="1"/>
              </w:numPr>
              <w:spacing w:after="0" w:line="360" w:lineRule="auto"/>
              <w:rPr>
                <w:rFonts w:cs="Arial"/>
                <w:i/>
                <w:sz w:val="20"/>
                <w:szCs w:val="20"/>
              </w:rPr>
            </w:pPr>
            <w:r w:rsidRPr="00B17AB4">
              <w:rPr>
                <w:rFonts w:cs="Arial"/>
                <w:i/>
                <w:sz w:val="20"/>
                <w:szCs w:val="20"/>
              </w:rPr>
              <w:t xml:space="preserve">neizpolnjevanje pogodbenih obveznosti oziroma odpovedi pogodb ključnih pogodbenih partnerjev, če se terjatve do pogodbenih partnerjev uveljavljajo po sodni poti, oziroma so taka dejanja posledica domnevnih kaznivih dejanj pogodbenih partnerjev, za katere je podan obtožni predlog v kazenskem postopku; </w:t>
            </w:r>
          </w:p>
          <w:p w14:paraId="3F03A67C" w14:textId="77777777" w:rsidR="00EE4992" w:rsidRPr="00B17AB4" w:rsidRDefault="00EE4992" w:rsidP="006F5278">
            <w:pPr>
              <w:numPr>
                <w:ilvl w:val="0"/>
                <w:numId w:val="1"/>
              </w:numPr>
              <w:spacing w:after="0" w:line="360" w:lineRule="auto"/>
              <w:rPr>
                <w:rFonts w:cs="Arial"/>
                <w:i/>
                <w:sz w:val="20"/>
                <w:szCs w:val="20"/>
              </w:rPr>
            </w:pPr>
            <w:r w:rsidRPr="00B17AB4">
              <w:rPr>
                <w:rFonts w:cs="Arial"/>
                <w:i/>
                <w:sz w:val="20"/>
                <w:szCs w:val="20"/>
              </w:rPr>
              <w:t xml:space="preserve">izredni in nepredvideni dogodki na trgih, kjer ustvarjam večino prihodkov; </w:t>
            </w:r>
          </w:p>
          <w:p w14:paraId="0A16B04D" w14:textId="77777777" w:rsidR="00EE4992" w:rsidRPr="00B17AB4" w:rsidRDefault="00EE4992" w:rsidP="006F5278">
            <w:pPr>
              <w:numPr>
                <w:ilvl w:val="0"/>
                <w:numId w:val="1"/>
              </w:numPr>
              <w:spacing w:after="0" w:line="360" w:lineRule="auto"/>
              <w:rPr>
                <w:rFonts w:cs="Arial"/>
                <w:i/>
                <w:sz w:val="20"/>
                <w:szCs w:val="20"/>
              </w:rPr>
            </w:pPr>
            <w:r w:rsidRPr="00B17AB4">
              <w:rPr>
                <w:rFonts w:cs="Arial"/>
                <w:i/>
                <w:sz w:val="20"/>
                <w:szCs w:val="20"/>
              </w:rPr>
              <w:t>naravne in druge nepredvidene nesreče;</w:t>
            </w:r>
          </w:p>
          <w:p w14:paraId="237637DE" w14:textId="77777777" w:rsidR="006F5278" w:rsidRPr="006F5278" w:rsidRDefault="00EE4992" w:rsidP="006F5278">
            <w:pPr>
              <w:numPr>
                <w:ilvl w:val="0"/>
                <w:numId w:val="1"/>
              </w:numPr>
              <w:spacing w:after="0" w:line="360" w:lineRule="auto"/>
              <w:rPr>
                <w:rFonts w:cs="Arial"/>
                <w:i/>
                <w:sz w:val="20"/>
                <w:szCs w:val="20"/>
              </w:rPr>
            </w:pPr>
            <w:r w:rsidRPr="00B17AB4">
              <w:rPr>
                <w:rFonts w:cs="Arial"/>
                <w:i/>
                <w:sz w:val="20"/>
                <w:szCs w:val="20"/>
              </w:rPr>
              <w:t>druge okoliščine (pojasnite druge okoliščine).</w:t>
            </w:r>
          </w:p>
          <w:p w14:paraId="0949F47A" w14:textId="77777777" w:rsidR="00EE4992" w:rsidRPr="00B17AB4" w:rsidRDefault="00EE4992" w:rsidP="00EE4992">
            <w:pPr>
              <w:rPr>
                <w:rFonts w:cs="Arial"/>
                <w:i/>
                <w:sz w:val="20"/>
                <w:szCs w:val="20"/>
              </w:rPr>
            </w:pPr>
            <w:r w:rsidRPr="00B17AB4">
              <w:rPr>
                <w:rFonts w:cs="Arial"/>
                <w:i/>
                <w:sz w:val="20"/>
                <w:szCs w:val="20"/>
              </w:rPr>
              <w:t>Navedene okoliščine davčni zavezanec ustrezno označi in zanje priloži ustrezna dokazila (na primer predlog za sodno izvršbo, potrdilo o zdravstvenem stanju, oceno škode kot posledice naravne nesreče itd.).</w:t>
            </w:r>
          </w:p>
        </w:tc>
      </w:tr>
      <w:tr w:rsidR="00EE4992" w:rsidRPr="00B17AB4" w14:paraId="123E033F" w14:textId="77777777" w:rsidTr="00227F89">
        <w:trPr>
          <w:trHeight w:val="170"/>
        </w:trPr>
        <w:tc>
          <w:tcPr>
            <w:tcW w:w="2493" w:type="dxa"/>
            <w:shd w:val="clear" w:color="auto" w:fill="auto"/>
          </w:tcPr>
          <w:p w14:paraId="7F368307" w14:textId="1A402BB6" w:rsidR="00EE4992" w:rsidRPr="00B17AB4" w:rsidRDefault="00D90F76" w:rsidP="00EE4992">
            <w:pPr>
              <w:rPr>
                <w:rFonts w:cs="Arial"/>
                <w:sz w:val="20"/>
                <w:szCs w:val="20"/>
              </w:rPr>
            </w:pPr>
            <w:r>
              <w:rPr>
                <w:rFonts w:cs="Arial"/>
                <w:sz w:val="20"/>
                <w:szCs w:val="20"/>
              </w:rPr>
              <w:t>O</w:t>
            </w:r>
            <w:r w:rsidR="00EE4992" w:rsidRPr="00B17AB4">
              <w:rPr>
                <w:rFonts w:cs="Arial"/>
                <w:sz w:val="20"/>
                <w:szCs w:val="20"/>
              </w:rPr>
              <w:t>bročno plačilo davka bi omogočilo preprečitev hujše gospodarske škode</w:t>
            </w:r>
            <w:r w:rsidR="00EE4992">
              <w:rPr>
                <w:rFonts w:cs="Arial"/>
                <w:sz w:val="20"/>
                <w:szCs w:val="20"/>
              </w:rPr>
              <w:t>:</w:t>
            </w:r>
          </w:p>
          <w:p w14:paraId="694D9EF3" w14:textId="77777777" w:rsidR="00EE4992" w:rsidRPr="00B17AB4" w:rsidRDefault="00EE4992" w:rsidP="00EE4992">
            <w:pPr>
              <w:rPr>
                <w:rFonts w:cs="Arial"/>
                <w:sz w:val="20"/>
                <w:szCs w:val="20"/>
              </w:rPr>
            </w:pPr>
          </w:p>
        </w:tc>
        <w:tc>
          <w:tcPr>
            <w:tcW w:w="6569" w:type="dxa"/>
            <w:shd w:val="clear" w:color="auto" w:fill="auto"/>
          </w:tcPr>
          <w:p w14:paraId="61D7B069" w14:textId="0FB26495" w:rsidR="00EE4992" w:rsidRPr="00B17AB4" w:rsidRDefault="00EE4992" w:rsidP="00EE4992">
            <w:pPr>
              <w:rPr>
                <w:rFonts w:cs="Arial"/>
                <w:i/>
                <w:sz w:val="20"/>
                <w:szCs w:val="20"/>
              </w:rPr>
            </w:pPr>
            <w:r w:rsidRPr="00B17AB4">
              <w:rPr>
                <w:rFonts w:cs="Arial"/>
                <w:i/>
                <w:sz w:val="20"/>
                <w:szCs w:val="20"/>
              </w:rPr>
              <w:t xml:space="preserve">Dejstvo, da bo obročno </w:t>
            </w:r>
            <w:r w:rsidR="00D90F76">
              <w:rPr>
                <w:rFonts w:cs="Arial"/>
                <w:i/>
                <w:sz w:val="20"/>
                <w:szCs w:val="20"/>
              </w:rPr>
              <w:t>plačilo</w:t>
            </w:r>
            <w:r w:rsidRPr="00B17AB4">
              <w:rPr>
                <w:rFonts w:cs="Arial"/>
                <w:i/>
                <w:sz w:val="20"/>
                <w:szCs w:val="20"/>
              </w:rPr>
              <w:t xml:space="preserve"> davka omogočilo preprečitev hujše gospodarske škode, je treba izkazati s pojasnili, poslovnimi strategijami in plani, sprejetimi poslovnimi odločitvami, predvidenimi finančnimi tokovi, pričakovanimi prilivi, pogodbami s poslovnimi partnerji, kreditnimi pogodbami ter z drugimi dokazili, katerih izvedba in finančni učinki se bodo pokazali v kasnejših obdobjih.</w:t>
            </w:r>
          </w:p>
          <w:p w14:paraId="2A9787B5" w14:textId="77777777" w:rsidR="00EE4992" w:rsidRPr="00B17AB4" w:rsidRDefault="00EE4992" w:rsidP="006F5278">
            <w:pPr>
              <w:rPr>
                <w:rFonts w:cs="Arial"/>
                <w:i/>
                <w:sz w:val="20"/>
                <w:szCs w:val="20"/>
              </w:rPr>
            </w:pPr>
            <w:r w:rsidRPr="00B17AB4">
              <w:rPr>
                <w:rFonts w:cs="Arial"/>
                <w:i/>
                <w:sz w:val="20"/>
                <w:szCs w:val="20"/>
              </w:rPr>
              <w:t>Za dokazovanje tega kriterija davčni zavezanec v vlogi navede ustrezna pojasnila, v določenih primerih pa priloži tudi dokazila</w:t>
            </w:r>
            <w:r w:rsidR="006F5278">
              <w:rPr>
                <w:rFonts w:cs="Arial"/>
                <w:i/>
                <w:sz w:val="20"/>
                <w:szCs w:val="20"/>
              </w:rPr>
              <w:t>.</w:t>
            </w:r>
          </w:p>
        </w:tc>
      </w:tr>
      <w:tr w:rsidR="00EE4992" w:rsidRPr="00B17AB4" w14:paraId="2082F206" w14:textId="77777777" w:rsidTr="00227F89">
        <w:trPr>
          <w:trHeight w:val="170"/>
        </w:trPr>
        <w:tc>
          <w:tcPr>
            <w:tcW w:w="2493" w:type="dxa"/>
            <w:shd w:val="clear" w:color="auto" w:fill="auto"/>
          </w:tcPr>
          <w:p w14:paraId="700F4F37" w14:textId="77777777" w:rsidR="00EE4992" w:rsidRPr="0055577A" w:rsidRDefault="00EE4992" w:rsidP="00EE4992">
            <w:pPr>
              <w:rPr>
                <w:rFonts w:cs="Arial"/>
                <w:b/>
                <w:sz w:val="20"/>
                <w:szCs w:val="20"/>
              </w:rPr>
            </w:pPr>
            <w:r w:rsidRPr="0055577A">
              <w:rPr>
                <w:rFonts w:cs="Arial"/>
                <w:b/>
                <w:sz w:val="20"/>
                <w:szCs w:val="20"/>
              </w:rPr>
              <w:t xml:space="preserve">Dokazovanje upravičenosti do obročnega plačila davka s sporazumom o finančnem </w:t>
            </w:r>
            <w:r w:rsidRPr="0055577A">
              <w:rPr>
                <w:rFonts w:cs="Arial"/>
                <w:b/>
                <w:sz w:val="20"/>
                <w:szCs w:val="20"/>
              </w:rPr>
              <w:lastRenderedPageBreak/>
              <w:t>prestrukturiranju oziroma s potrjeno poenostavljeno prisilno poravnavo:</w:t>
            </w:r>
          </w:p>
        </w:tc>
        <w:tc>
          <w:tcPr>
            <w:tcW w:w="6569" w:type="dxa"/>
            <w:shd w:val="clear" w:color="auto" w:fill="auto"/>
          </w:tcPr>
          <w:p w14:paraId="165EEE30" w14:textId="77777777" w:rsidR="00EE4992" w:rsidRPr="00B17AB4" w:rsidRDefault="00EE4992" w:rsidP="00EE4992">
            <w:pPr>
              <w:rPr>
                <w:rFonts w:cs="Arial"/>
                <w:i/>
                <w:sz w:val="20"/>
                <w:szCs w:val="20"/>
              </w:rPr>
            </w:pPr>
            <w:r w:rsidRPr="00B17AB4">
              <w:rPr>
                <w:rFonts w:cs="Arial"/>
                <w:i/>
                <w:sz w:val="20"/>
                <w:szCs w:val="20"/>
              </w:rPr>
              <w:lastRenderedPageBreak/>
              <w:t xml:space="preserve">Če je sodišče izdalo pravnomočni sklep, s katerim je potrdilo sporazum o finančnem prestrukturiranju ali sklep o potrjeni poenostavljeni prisilni </w:t>
            </w:r>
            <w:r w:rsidRPr="00B17AB4">
              <w:rPr>
                <w:rFonts w:cs="Arial"/>
                <w:i/>
                <w:sz w:val="20"/>
                <w:szCs w:val="20"/>
              </w:rPr>
              <w:lastRenderedPageBreak/>
              <w:t xml:space="preserve">poravnavi, na podlagi določb zakona, ki ureja finančno poslovanje, postopke zaradi insolventnosti in prisilno prenehanje, </w:t>
            </w:r>
            <w:r>
              <w:rPr>
                <w:rFonts w:cs="Arial"/>
                <w:i/>
                <w:sz w:val="20"/>
                <w:szCs w:val="20"/>
              </w:rPr>
              <w:t>se to ustrezno označi</w:t>
            </w:r>
            <w:r w:rsidRPr="00B17AB4">
              <w:rPr>
                <w:rFonts w:cs="Arial"/>
                <w:i/>
                <w:sz w:val="20"/>
                <w:szCs w:val="20"/>
              </w:rPr>
              <w:t>.</w:t>
            </w:r>
          </w:p>
          <w:p w14:paraId="52E46EFE" w14:textId="77777777" w:rsidR="00EE4992" w:rsidRPr="00B17AB4" w:rsidRDefault="00EE4992" w:rsidP="00EE4992">
            <w:pPr>
              <w:rPr>
                <w:rFonts w:cs="Arial"/>
                <w:i/>
                <w:sz w:val="20"/>
                <w:szCs w:val="20"/>
              </w:rPr>
            </w:pPr>
            <w:r w:rsidRPr="00B17AB4">
              <w:rPr>
                <w:rFonts w:cs="Arial"/>
                <w:i/>
                <w:sz w:val="20"/>
                <w:szCs w:val="20"/>
              </w:rPr>
              <w:t>V tem primeru dokazovanje ostalih kriterijev ni potrebno, pri čemer je z vidika ekonomičnosti postopka priporočljivo, da pravnomočni sklep priložite k vlogi.</w:t>
            </w:r>
          </w:p>
        </w:tc>
      </w:tr>
      <w:tr w:rsidR="00EE4992" w:rsidRPr="00B17AB4" w14:paraId="5FF824A0" w14:textId="77777777" w:rsidTr="00227F89">
        <w:trPr>
          <w:trHeight w:val="170"/>
        </w:trPr>
        <w:tc>
          <w:tcPr>
            <w:tcW w:w="2493" w:type="dxa"/>
            <w:shd w:val="clear" w:color="auto" w:fill="auto"/>
          </w:tcPr>
          <w:p w14:paraId="5A8B8B4C" w14:textId="77777777" w:rsidR="00EE4992" w:rsidRPr="00B17AB4" w:rsidRDefault="00EE4992" w:rsidP="00EE4992">
            <w:pPr>
              <w:rPr>
                <w:rFonts w:cs="Arial"/>
                <w:sz w:val="20"/>
                <w:szCs w:val="20"/>
              </w:rPr>
            </w:pPr>
            <w:r w:rsidRPr="00B17AB4">
              <w:rPr>
                <w:rFonts w:cs="Arial"/>
                <w:sz w:val="20"/>
                <w:szCs w:val="20"/>
              </w:rPr>
              <w:lastRenderedPageBreak/>
              <w:t>Dodatna pojasnila:</w:t>
            </w:r>
          </w:p>
        </w:tc>
        <w:tc>
          <w:tcPr>
            <w:tcW w:w="6569" w:type="dxa"/>
            <w:shd w:val="clear" w:color="auto" w:fill="auto"/>
          </w:tcPr>
          <w:p w14:paraId="366BC883" w14:textId="77777777" w:rsidR="00EE4992" w:rsidRPr="00B17AB4" w:rsidRDefault="00EE4992" w:rsidP="00EE4992">
            <w:pPr>
              <w:rPr>
                <w:rFonts w:cs="Arial"/>
                <w:i/>
                <w:sz w:val="20"/>
                <w:szCs w:val="20"/>
              </w:rPr>
            </w:pPr>
            <w:r w:rsidRPr="00B17AB4">
              <w:rPr>
                <w:rFonts w:cs="Arial"/>
                <w:i/>
                <w:sz w:val="20"/>
                <w:szCs w:val="20"/>
              </w:rPr>
              <w:t>Vpišejo se dodatna dejstva, ki so pomembna za odločanje.</w:t>
            </w:r>
          </w:p>
        </w:tc>
      </w:tr>
      <w:tr w:rsidR="00EE4992" w:rsidRPr="00B17AB4" w14:paraId="2222DFFF" w14:textId="77777777" w:rsidTr="00227F89">
        <w:trPr>
          <w:trHeight w:val="170"/>
        </w:trPr>
        <w:tc>
          <w:tcPr>
            <w:tcW w:w="2493" w:type="dxa"/>
            <w:shd w:val="clear" w:color="auto" w:fill="auto"/>
          </w:tcPr>
          <w:p w14:paraId="4DA20290" w14:textId="77777777" w:rsidR="00EE4992" w:rsidRPr="00B17AB4" w:rsidRDefault="00EE4992" w:rsidP="00EE4992">
            <w:pPr>
              <w:rPr>
                <w:rFonts w:cs="Arial"/>
                <w:sz w:val="20"/>
                <w:szCs w:val="20"/>
              </w:rPr>
            </w:pPr>
            <w:r w:rsidRPr="00B17AB4">
              <w:rPr>
                <w:rFonts w:cs="Arial"/>
                <w:sz w:val="20"/>
                <w:szCs w:val="20"/>
              </w:rPr>
              <w:t>Priloge:</w:t>
            </w:r>
          </w:p>
        </w:tc>
        <w:tc>
          <w:tcPr>
            <w:tcW w:w="6569" w:type="dxa"/>
            <w:shd w:val="clear" w:color="auto" w:fill="auto"/>
          </w:tcPr>
          <w:p w14:paraId="5B49327E" w14:textId="49C95430" w:rsidR="00EE4992" w:rsidRPr="00B17AB4" w:rsidRDefault="00EE4992" w:rsidP="00EE4992">
            <w:pPr>
              <w:rPr>
                <w:rFonts w:cs="Arial"/>
                <w:i/>
                <w:sz w:val="20"/>
                <w:szCs w:val="20"/>
              </w:rPr>
            </w:pPr>
            <w:r w:rsidRPr="00B17AB4">
              <w:rPr>
                <w:rFonts w:cs="Arial"/>
                <w:i/>
                <w:sz w:val="20"/>
                <w:szCs w:val="20"/>
              </w:rPr>
              <w:t>K vlogi je treba obvezno priložiti dokazila, na podlagi katerih davčni organ odloča o utemeljenosti zahtevka za obročno plačilo davka.</w:t>
            </w:r>
          </w:p>
        </w:tc>
      </w:tr>
    </w:tbl>
    <w:p w14:paraId="2EF7F368" w14:textId="77777777" w:rsidR="00CF0B0F" w:rsidRPr="00B17AB4" w:rsidRDefault="00CF0B0F" w:rsidP="00CF0B0F">
      <w:pPr>
        <w:rPr>
          <w:b/>
          <w:sz w:val="20"/>
          <w:szCs w:val="20"/>
        </w:rPr>
      </w:pPr>
    </w:p>
    <w:p w14:paraId="7941B857" w14:textId="77777777" w:rsidR="00CF0B0F" w:rsidRPr="00B17AB4" w:rsidRDefault="00CF0B0F" w:rsidP="00CF0B0F">
      <w:pPr>
        <w:rPr>
          <w:sz w:val="20"/>
          <w:szCs w:val="20"/>
        </w:rPr>
      </w:pPr>
    </w:p>
    <w:p w14:paraId="6949E075" w14:textId="77777777" w:rsidR="00CF0B0F" w:rsidRPr="00B17AB4" w:rsidRDefault="00CF0B0F" w:rsidP="00CF0B0F">
      <w:pPr>
        <w:rPr>
          <w:b/>
          <w:sz w:val="20"/>
          <w:szCs w:val="20"/>
        </w:rPr>
      </w:pPr>
    </w:p>
    <w:p w14:paraId="5234D646" w14:textId="77777777" w:rsidR="00502E43" w:rsidRPr="00B17AB4" w:rsidRDefault="00502E43">
      <w:pPr>
        <w:rPr>
          <w:sz w:val="20"/>
          <w:szCs w:val="20"/>
        </w:rPr>
      </w:pPr>
    </w:p>
    <w:sectPr w:rsidR="00502E43" w:rsidRPr="00B17AB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EF37" w14:textId="77777777" w:rsidR="002310D8" w:rsidRDefault="002310D8" w:rsidP="00CF0B0F">
      <w:pPr>
        <w:spacing w:after="0" w:line="240" w:lineRule="auto"/>
      </w:pPr>
      <w:r>
        <w:separator/>
      </w:r>
    </w:p>
  </w:endnote>
  <w:endnote w:type="continuationSeparator" w:id="0">
    <w:p w14:paraId="680D46C9" w14:textId="77777777" w:rsidR="002310D8" w:rsidRDefault="002310D8" w:rsidP="00CF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7271" w14:textId="77777777" w:rsidR="002310D8" w:rsidRDefault="002310D8" w:rsidP="00CF0B0F">
      <w:pPr>
        <w:spacing w:after="0" w:line="240" w:lineRule="auto"/>
      </w:pPr>
      <w:r>
        <w:separator/>
      </w:r>
    </w:p>
  </w:footnote>
  <w:footnote w:type="continuationSeparator" w:id="0">
    <w:p w14:paraId="31B9702F" w14:textId="77777777" w:rsidR="002310D8" w:rsidRDefault="002310D8" w:rsidP="00CF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F01B" w14:textId="6E2C2979" w:rsidR="00CF0B0F" w:rsidRDefault="001D2B2F">
    <w:pPr>
      <w:pStyle w:val="Glava"/>
    </w:pPr>
    <w:r>
      <w:rPr>
        <w:rFonts w:ascii="Arial" w:hAnsi="Arial" w:cs="Arial"/>
        <w:sz w:val="20"/>
      </w:rPr>
      <w:t>OBROK - P</w:t>
    </w:r>
    <w:r w:rsidRPr="00BD3AA9">
      <w:rPr>
        <w:rFonts w:ascii="Arial" w:hAnsi="Arial" w:cs="Arial"/>
        <w:sz w:val="20"/>
      </w:rPr>
      <w:t>O</w:t>
    </w:r>
    <w:r w:rsidR="00CF0B0F" w:rsidRPr="001C33C5">
      <w:tab/>
    </w:r>
    <w:r w:rsidR="00CF0B0F" w:rsidRPr="001C33C5">
      <w:tab/>
    </w:r>
    <w:r w:rsidR="00CF0B0F">
      <w:rPr>
        <w:noProof/>
        <w:lang w:eastAsia="sl-SI"/>
      </w:rPr>
      <w:drawing>
        <wp:inline distT="0" distB="0" distL="0" distR="0" wp14:anchorId="3A77CB24" wp14:editId="20B8E99D">
          <wp:extent cx="906145" cy="413385"/>
          <wp:effectExtent l="0" t="0" r="8255"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413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4D5D"/>
    <w:multiLevelType w:val="hybridMultilevel"/>
    <w:tmpl w:val="68784CF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E7A2949"/>
    <w:multiLevelType w:val="hybridMultilevel"/>
    <w:tmpl w:val="3FE6D2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26B3546"/>
    <w:multiLevelType w:val="hybridMultilevel"/>
    <w:tmpl w:val="B5C4C6BA"/>
    <w:lvl w:ilvl="0" w:tplc="CBBA48D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76695055">
    <w:abstractNumId w:val="2"/>
  </w:num>
  <w:num w:numId="2" w16cid:durableId="944582303">
    <w:abstractNumId w:val="1"/>
  </w:num>
  <w:num w:numId="3" w16cid:durableId="51099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0F"/>
    <w:rsid w:val="00066E29"/>
    <w:rsid w:val="000B0044"/>
    <w:rsid w:val="000C2AD1"/>
    <w:rsid w:val="001127D3"/>
    <w:rsid w:val="00161883"/>
    <w:rsid w:val="001C5831"/>
    <w:rsid w:val="001D2B2F"/>
    <w:rsid w:val="001E0FC7"/>
    <w:rsid w:val="001F4F7B"/>
    <w:rsid w:val="00227F89"/>
    <w:rsid w:val="002310D8"/>
    <w:rsid w:val="00255FCD"/>
    <w:rsid w:val="002657DA"/>
    <w:rsid w:val="002A5DAC"/>
    <w:rsid w:val="00314DF5"/>
    <w:rsid w:val="00325028"/>
    <w:rsid w:val="00335507"/>
    <w:rsid w:val="0034020E"/>
    <w:rsid w:val="0034246E"/>
    <w:rsid w:val="003A77ED"/>
    <w:rsid w:val="003B1139"/>
    <w:rsid w:val="003E6F67"/>
    <w:rsid w:val="003F0704"/>
    <w:rsid w:val="00427B9D"/>
    <w:rsid w:val="00436741"/>
    <w:rsid w:val="0045122C"/>
    <w:rsid w:val="005028AF"/>
    <w:rsid w:val="00502E43"/>
    <w:rsid w:val="00532300"/>
    <w:rsid w:val="0055577A"/>
    <w:rsid w:val="00565333"/>
    <w:rsid w:val="00565931"/>
    <w:rsid w:val="00577B74"/>
    <w:rsid w:val="00585B6C"/>
    <w:rsid w:val="005D60CA"/>
    <w:rsid w:val="005E3F24"/>
    <w:rsid w:val="00632853"/>
    <w:rsid w:val="00655107"/>
    <w:rsid w:val="006F5278"/>
    <w:rsid w:val="00903F84"/>
    <w:rsid w:val="00973327"/>
    <w:rsid w:val="009B4908"/>
    <w:rsid w:val="009D293D"/>
    <w:rsid w:val="009E3C37"/>
    <w:rsid w:val="00A509F7"/>
    <w:rsid w:val="00AF10E6"/>
    <w:rsid w:val="00B17AB4"/>
    <w:rsid w:val="00B24791"/>
    <w:rsid w:val="00B96ABD"/>
    <w:rsid w:val="00BD48EF"/>
    <w:rsid w:val="00BD568C"/>
    <w:rsid w:val="00C07992"/>
    <w:rsid w:val="00C079C3"/>
    <w:rsid w:val="00C533D2"/>
    <w:rsid w:val="00C56DB5"/>
    <w:rsid w:val="00C6333C"/>
    <w:rsid w:val="00C713C4"/>
    <w:rsid w:val="00C81B9E"/>
    <w:rsid w:val="00CF0B0F"/>
    <w:rsid w:val="00D348EF"/>
    <w:rsid w:val="00D418A9"/>
    <w:rsid w:val="00D90F76"/>
    <w:rsid w:val="00DE2171"/>
    <w:rsid w:val="00E01AFD"/>
    <w:rsid w:val="00E13648"/>
    <w:rsid w:val="00E37736"/>
    <w:rsid w:val="00E86CED"/>
    <w:rsid w:val="00E9402D"/>
    <w:rsid w:val="00ED6A13"/>
    <w:rsid w:val="00EE4992"/>
    <w:rsid w:val="00EF5C68"/>
    <w:rsid w:val="00F7040A"/>
    <w:rsid w:val="00F968D7"/>
    <w:rsid w:val="00FB19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5104"/>
  <w15:docId w15:val="{557950A3-AB99-44A2-B9E8-AD95EB7C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F0B0F"/>
    <w:pPr>
      <w:tabs>
        <w:tab w:val="center" w:pos="4536"/>
        <w:tab w:val="right" w:pos="9072"/>
      </w:tabs>
      <w:spacing w:after="0" w:line="240" w:lineRule="auto"/>
    </w:pPr>
  </w:style>
  <w:style w:type="character" w:customStyle="1" w:styleId="GlavaZnak">
    <w:name w:val="Glava Znak"/>
    <w:basedOn w:val="Privzetapisavaodstavka"/>
    <w:link w:val="Glava"/>
    <w:uiPriority w:val="99"/>
    <w:rsid w:val="00CF0B0F"/>
  </w:style>
  <w:style w:type="paragraph" w:styleId="Noga">
    <w:name w:val="footer"/>
    <w:basedOn w:val="Navaden"/>
    <w:link w:val="NogaZnak"/>
    <w:uiPriority w:val="99"/>
    <w:unhideWhenUsed/>
    <w:rsid w:val="00CF0B0F"/>
    <w:pPr>
      <w:tabs>
        <w:tab w:val="center" w:pos="4536"/>
        <w:tab w:val="right" w:pos="9072"/>
      </w:tabs>
      <w:spacing w:after="0" w:line="240" w:lineRule="auto"/>
    </w:pPr>
  </w:style>
  <w:style w:type="character" w:customStyle="1" w:styleId="NogaZnak">
    <w:name w:val="Noga Znak"/>
    <w:basedOn w:val="Privzetapisavaodstavka"/>
    <w:link w:val="Noga"/>
    <w:uiPriority w:val="99"/>
    <w:rsid w:val="00CF0B0F"/>
  </w:style>
  <w:style w:type="paragraph" w:styleId="Besedilooblaka">
    <w:name w:val="Balloon Text"/>
    <w:basedOn w:val="Navaden"/>
    <w:link w:val="BesedilooblakaZnak"/>
    <w:uiPriority w:val="99"/>
    <w:semiHidden/>
    <w:unhideWhenUsed/>
    <w:rsid w:val="00CF0B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0B0F"/>
    <w:rPr>
      <w:rFonts w:ascii="Tahoma" w:hAnsi="Tahoma" w:cs="Tahoma"/>
      <w:sz w:val="16"/>
      <w:szCs w:val="16"/>
    </w:rPr>
  </w:style>
  <w:style w:type="paragraph" w:styleId="Odstavekseznama">
    <w:name w:val="List Paragraph"/>
    <w:basedOn w:val="Navaden"/>
    <w:uiPriority w:val="34"/>
    <w:qFormat/>
    <w:rsid w:val="00B24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4828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Davčna Uprava RS</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Celec</dc:creator>
  <cp:lastModifiedBy>Ana Mlinar Bajt</cp:lastModifiedBy>
  <cp:revision>4</cp:revision>
  <cp:lastPrinted>2019-07-25T08:28:00Z</cp:lastPrinted>
  <dcterms:created xsi:type="dcterms:W3CDTF">2024-11-26T14:54:00Z</dcterms:created>
  <dcterms:modified xsi:type="dcterms:W3CDTF">2024-11-26T14:56:00Z</dcterms:modified>
</cp:coreProperties>
</file>