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05FB" w14:textId="77777777" w:rsidR="002C3C0F" w:rsidRPr="00235C80" w:rsidRDefault="002C3C0F" w:rsidP="002C3C0F">
      <w:pPr>
        <w:jc w:val="center"/>
        <w:rPr>
          <w:sz w:val="24"/>
          <w:szCs w:val="24"/>
        </w:rPr>
      </w:pPr>
      <w:r w:rsidRPr="00235C80">
        <w:rPr>
          <w:rFonts w:cs="Calibri"/>
          <w:b/>
          <w:bCs/>
          <w:color w:val="000000"/>
          <w:sz w:val="24"/>
          <w:szCs w:val="24"/>
          <w:lang w:eastAsia="sl-SI"/>
        </w:rPr>
        <w:t xml:space="preserve">Navodilo za izpolnjevanje obrazca </w:t>
      </w: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4"/>
        <w:gridCol w:w="5320"/>
      </w:tblGrid>
      <w:tr w:rsidR="002C3C0F" w:rsidRPr="009E72FB" w14:paraId="47A89594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28DA3E6F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5320" w:type="dxa"/>
            <w:vAlign w:val="center"/>
          </w:tcPr>
          <w:p w14:paraId="5799F067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davčna številka osebe, ki vlaga obračun.</w:t>
            </w:r>
          </w:p>
        </w:tc>
      </w:tr>
      <w:tr w:rsidR="002C3C0F" w:rsidRPr="009E72FB" w14:paraId="43479689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297F39C4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5320" w:type="dxa"/>
            <w:vAlign w:val="center"/>
          </w:tcPr>
          <w:p w14:paraId="10D7D65E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matična številka osebe, ki vlaga obračun.</w:t>
            </w:r>
          </w:p>
        </w:tc>
      </w:tr>
      <w:tr w:rsidR="002C3C0F" w:rsidRPr="009E72FB" w14:paraId="61BA3A13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2C66DD10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5320" w:type="dxa"/>
            <w:vAlign w:val="center"/>
          </w:tcPr>
          <w:p w14:paraId="013B79BF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naziv osebe, ki vlaga obračun.</w:t>
            </w:r>
          </w:p>
        </w:tc>
      </w:tr>
      <w:tr w:rsidR="002C3C0F" w:rsidRPr="009E72FB" w14:paraId="00FA71D3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4052D2C1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5320" w:type="dxa"/>
            <w:vAlign w:val="center"/>
          </w:tcPr>
          <w:p w14:paraId="446C11FA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popolni naslov osebe, ki vlaga obračun.</w:t>
            </w:r>
          </w:p>
        </w:tc>
      </w:tr>
      <w:tr w:rsidR="002C3C0F" w:rsidRPr="009E72FB" w14:paraId="026F435F" w14:textId="77777777" w:rsidTr="0099173F">
        <w:trPr>
          <w:trHeight w:val="340"/>
        </w:trPr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22ED6281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Davčno obdobje</w:t>
            </w:r>
          </w:p>
        </w:tc>
        <w:tc>
          <w:tcPr>
            <w:tcW w:w="5320" w:type="dxa"/>
            <w:vAlign w:val="center"/>
          </w:tcPr>
          <w:p w14:paraId="6BF80358" w14:textId="77777777" w:rsidR="002C3C0F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davčno obdobje, na katero se nanaša obračun.</w:t>
            </w:r>
          </w:p>
          <w:p w14:paraId="07E8A0D8" w14:textId="5959932A" w:rsidR="00D5221A" w:rsidRPr="009E72FB" w:rsidRDefault="00D5221A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Za začasno pooblaščenega prejemnika, začasno certificiranega prejemnika ali prodajalca na daljavo je davčno obdobje datum prejema trošarinskih izdelkov.</w:t>
            </w:r>
          </w:p>
        </w:tc>
      </w:tr>
      <w:tr w:rsidR="0099173F" w:rsidRPr="009E72FB" w14:paraId="02A33379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7D924A4C" w14:textId="77777777" w:rsidR="0099173F" w:rsidRPr="009E72FB" w:rsidRDefault="0099173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1. Trošarinski zavezanec:</w:t>
            </w:r>
          </w:p>
          <w:p w14:paraId="70393D44" w14:textId="0BAD54D6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mali proizvajalec piva</w:t>
            </w:r>
          </w:p>
          <w:p w14:paraId="5EF05D0D" w14:textId="75386229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pooblaščeni prejemnik</w:t>
            </w:r>
          </w:p>
          <w:p w14:paraId="462EA599" w14:textId="536CFBF7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pooblaščeni uvoznik</w:t>
            </w:r>
          </w:p>
          <w:p w14:paraId="0693AB50" w14:textId="1826F295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proizvajalec</w:t>
            </w:r>
          </w:p>
          <w:p w14:paraId="6A1FCF89" w14:textId="7FBA7BFC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imetnik trošarinskega skladišča</w:t>
            </w:r>
          </w:p>
          <w:p w14:paraId="6169B2CE" w14:textId="331C24D7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začasno pooblaščeni prejemnik</w:t>
            </w:r>
          </w:p>
          <w:p w14:paraId="2EFD623A" w14:textId="61697117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imetnik dovoljenja za davka prosto prodajalno</w:t>
            </w:r>
          </w:p>
          <w:p w14:paraId="49AE194C" w14:textId="297D45E4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certificirani prejemnik</w:t>
            </w:r>
          </w:p>
          <w:p w14:paraId="370D445D" w14:textId="272C42A6" w:rsidR="0099173F" w:rsidRPr="0099173F" w:rsidRDefault="0099173F" w:rsidP="009917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začasno certificirani prejemnik</w:t>
            </w:r>
          </w:p>
          <w:p w14:paraId="13046FC4" w14:textId="77777777" w:rsidR="0099173F" w:rsidRPr="009E72FB" w:rsidRDefault="0099173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2. Drugi plačniki trošarine</w:t>
            </w:r>
          </w:p>
          <w:p w14:paraId="2C406CB9" w14:textId="1E0B28A2" w:rsidR="0099173F" w:rsidRPr="0099173F" w:rsidRDefault="0099173F" w:rsidP="0099173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drugi plačniki trošarine</w:t>
            </w:r>
          </w:p>
          <w:p w14:paraId="3E97C9BA" w14:textId="77BF4B52" w:rsidR="0099173F" w:rsidRPr="0099173F" w:rsidRDefault="0099173F" w:rsidP="0099173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9173F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prodaja na daljavo</w:t>
            </w:r>
          </w:p>
          <w:p w14:paraId="01783486" w14:textId="6022BA36" w:rsidR="0099173F" w:rsidRPr="009E72FB" w:rsidRDefault="0099173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3. Oproščeni uporabnik  </w:t>
            </w:r>
          </w:p>
        </w:tc>
        <w:tc>
          <w:tcPr>
            <w:tcW w:w="5320" w:type="dxa"/>
            <w:vAlign w:val="center"/>
          </w:tcPr>
          <w:p w14:paraId="0F7D1077" w14:textId="77015BA0" w:rsidR="0099173F" w:rsidRDefault="0099173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Glede na status osebe (vrsta trošarinskega zavezanca ali drug plačnik trošarine ali oproščeni uporabnik), ki vlaga obračun, se označi ustrezno polje.</w:t>
            </w:r>
          </w:p>
          <w:p w14:paraId="0A2512EC" w14:textId="77777777" w:rsidR="0099173F" w:rsidRDefault="0099173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14:paraId="7B839976" w14:textId="054A5798" w:rsidR="0099173F" w:rsidRPr="009E72FB" w:rsidRDefault="0099173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Obračun trošarine se predlaga za vsak status ločeno. </w:t>
            </w:r>
          </w:p>
        </w:tc>
      </w:tr>
      <w:tr w:rsidR="002C3C0F" w:rsidRPr="009E72FB" w14:paraId="04C2C31D" w14:textId="77777777" w:rsidTr="0099173F">
        <w:trPr>
          <w:trHeight w:val="340"/>
        </w:trPr>
        <w:tc>
          <w:tcPr>
            <w:tcW w:w="3904" w:type="dxa"/>
            <w:tcBorders>
              <w:bottom w:val="nil"/>
            </w:tcBorders>
            <w:vAlign w:val="center"/>
          </w:tcPr>
          <w:p w14:paraId="5212627E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5320" w:type="dxa"/>
            <w:vAlign w:val="center"/>
          </w:tcPr>
          <w:p w14:paraId="26594F78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 stolpec (2) se vpišeta vrsta piva in vsebnost alkohola v volumenskih odstotkih.</w:t>
            </w:r>
          </w:p>
          <w:p w14:paraId="4B4A8450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Količina pijače se navede na štiri decimalna mesta.</w:t>
            </w:r>
          </w:p>
        </w:tc>
      </w:tr>
      <w:tr w:rsidR="002C3C0F" w:rsidRPr="009E72FB" w14:paraId="55E41506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3EC3DF0A" w14:textId="2EB91FD3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        vrsta piva         vsebnost alkohola v vol. %</w:t>
            </w:r>
          </w:p>
        </w:tc>
        <w:tc>
          <w:tcPr>
            <w:tcW w:w="5320" w:type="dxa"/>
            <w:vAlign w:val="center"/>
          </w:tcPr>
          <w:p w14:paraId="7B50629D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 stolpec (3) se vpiše količina</w:t>
            </w:r>
            <w:r w:rsidR="003844AC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prejete pijače iz države članice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844AC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EU,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 hektolitrih</w:t>
            </w:r>
            <w:r w:rsidR="002708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2C3C0F" w:rsidRPr="009E72FB" w14:paraId="654978BD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2A0767EA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 1.1 </w:t>
            </w:r>
          </w:p>
        </w:tc>
        <w:tc>
          <w:tcPr>
            <w:tcW w:w="5320" w:type="dxa"/>
            <w:vAlign w:val="center"/>
          </w:tcPr>
          <w:p w14:paraId="792A4296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(4) se vpiše količina </w:t>
            </w:r>
            <w:r w:rsidR="003844AC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prejete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pijače </w:t>
            </w:r>
            <w:r w:rsidR="003844AC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od malega proizvajalca piva iz države članice EU,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 hektolitrih</w:t>
            </w:r>
            <w:r w:rsidR="002708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  <w:r w:rsidR="002708D0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2C3C0F" w:rsidRPr="009E72FB" w14:paraId="5ADCE7EA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4EA9DB6D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 1.2 </w:t>
            </w:r>
          </w:p>
        </w:tc>
        <w:tc>
          <w:tcPr>
            <w:tcW w:w="5320" w:type="dxa"/>
            <w:vAlign w:val="center"/>
          </w:tcPr>
          <w:p w14:paraId="6553CC99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(5) se vpiše količina pijače </w:t>
            </w:r>
            <w:r w:rsidR="003844AC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sproščene v porabo v Sloveniji,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 hektolitrih.</w:t>
            </w:r>
          </w:p>
        </w:tc>
      </w:tr>
      <w:tr w:rsidR="002C3C0F" w:rsidRPr="009E72FB" w14:paraId="2A3D7E74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67B9F025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 1.3 </w:t>
            </w:r>
          </w:p>
        </w:tc>
        <w:tc>
          <w:tcPr>
            <w:tcW w:w="5320" w:type="dxa"/>
            <w:vAlign w:val="center"/>
          </w:tcPr>
          <w:p w14:paraId="7610D8DF" w14:textId="0D2513A0" w:rsidR="002C3C0F" w:rsidRPr="009E72FB" w:rsidRDefault="002C3C0F" w:rsidP="0099173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(6) se vpiše količina pijače </w:t>
            </w:r>
            <w:r w:rsidR="003844AC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sproščene v porabo v Sloveniji, ki jo proizvede mali proizvajalec piva v drugi državi članici EU,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 hektolitrih.</w:t>
            </w:r>
          </w:p>
          <w:p w14:paraId="7F5CE802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(7) se vpiše količina pijače </w:t>
            </w:r>
            <w:r w:rsidR="009E72FB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sproščene v porabo v Sloveniji, ki jo proizvede mali proizvajalec piva,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 hektolitrih</w:t>
            </w:r>
            <w:r w:rsidR="002708D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2C3C0F" w:rsidRPr="009E72FB" w14:paraId="3EBD814F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1428E702" w14:textId="77777777" w:rsidR="002C3C0F" w:rsidRPr="009E72FB" w:rsidRDefault="002C3C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 1.4 </w:t>
            </w:r>
          </w:p>
        </w:tc>
        <w:tc>
          <w:tcPr>
            <w:tcW w:w="5320" w:type="dxa"/>
            <w:vAlign w:val="center"/>
          </w:tcPr>
          <w:p w14:paraId="0032FA6B" w14:textId="055B97A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V stolpec (8) se vpiše količina, za katero se uveljavlja vračilo trošarine v skladu z 19. členom ZTro-1.</w:t>
            </w:r>
            <w:r w:rsidR="0000130C" w:rsidRPr="0000130C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 Vračilo trošarine kot odbitek od trošarinske obveznosti, izkazane v mesečnem obračunu, lahko uveljavljata le imetnik trošarinskega skladišča in pooblaščeni prejemnik.</w:t>
            </w:r>
          </w:p>
        </w:tc>
      </w:tr>
      <w:tr w:rsidR="002C3C0F" w:rsidRPr="009E72FB" w14:paraId="6ABAEF39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07169483" w14:textId="6C0459F9" w:rsidR="002C3C0F" w:rsidRPr="009E72FB" w:rsidRDefault="00AE000F" w:rsidP="00A6777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2C3C0F"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1.5 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14:paraId="084C1B2B" w14:textId="25D590E0" w:rsidR="0000130C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V stolpec (9) se vpiše znesek za vračilo, ki se uveljavlja v skladu s 19. členom ZTro-1.</w:t>
            </w:r>
          </w:p>
        </w:tc>
      </w:tr>
      <w:tr w:rsidR="002C3C0F" w:rsidRPr="009E72FB" w14:paraId="00C22AEA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20785D2A" w14:textId="69012564" w:rsidR="002C3C0F" w:rsidRPr="009E72FB" w:rsidRDefault="00AE000F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 </w:t>
            </w:r>
            <w:r w:rsidR="0000130C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1.6</w:t>
            </w:r>
          </w:p>
        </w:tc>
        <w:tc>
          <w:tcPr>
            <w:tcW w:w="5320" w:type="dxa"/>
            <w:tcBorders>
              <w:bottom w:val="nil"/>
            </w:tcBorders>
            <w:vAlign w:val="center"/>
          </w:tcPr>
          <w:p w14:paraId="449AC69C" w14:textId="5CD9FF44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V stolpcu (10) se vpiše ustrezna zakonska podlaga za uveljavljanje vračila trošarine, in sicer</w:t>
            </w:r>
            <w:r w:rsidR="00740755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 za naslednje primere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:</w:t>
            </w:r>
          </w:p>
        </w:tc>
      </w:tr>
      <w:tr w:rsidR="002C3C0F" w:rsidRPr="009E72FB" w14:paraId="7B217025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33F4F720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20" w:type="dxa"/>
            <w:tcBorders>
              <w:top w:val="nil"/>
              <w:bottom w:val="nil"/>
            </w:tcBorders>
            <w:vAlign w:val="center"/>
          </w:tcPr>
          <w:p w14:paraId="57B94F3B" w14:textId="00918AAE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-</w:t>
            </w:r>
            <w:r w:rsidR="00740755">
              <w:t xml:space="preserve"> </w:t>
            </w:r>
            <w:r w:rsidR="00740755" w:rsidRPr="00740755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Imetnik trošarinskega skladišča, ki je trošarinske izdelke, ki so že bili sproščeni v porabo v Sloveniji, vnesel v trošarinsko skladišče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AE000F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(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1. tč. prvega odst</w:t>
            </w:r>
            <w:r w:rsidR="00EB75A5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.</w:t>
            </w:r>
            <w:r w:rsidR="00740755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 19. člena ZTro-1</w:t>
            </w:r>
            <w:r w:rsidR="00AE000F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)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2C3C0F" w:rsidRPr="009E72FB" w14:paraId="557F13E7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4CD83E91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bottom w:val="nil"/>
            </w:tcBorders>
            <w:vAlign w:val="center"/>
          </w:tcPr>
          <w:p w14:paraId="1EE515B9" w14:textId="7A5D7B15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-</w:t>
            </w:r>
            <w:r w:rsidR="00740755" w:rsidRPr="00740755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Oseba, ki je izvozila trošarinske izdelke, ki so bili sproščeni v porabo v Sloveniji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AE000F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(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2. tč. prvega odst</w:t>
            </w:r>
            <w:r w:rsidR="00EB75A5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 19. člena ZTro-1</w:t>
            </w:r>
            <w:r w:rsidR="00AE000F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)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AE000F" w:rsidRPr="009E72FB" w14:paraId="2715B733" w14:textId="77777777" w:rsidTr="0099173F">
        <w:trPr>
          <w:trHeight w:val="340"/>
        </w:trPr>
        <w:tc>
          <w:tcPr>
            <w:tcW w:w="3904" w:type="dxa"/>
            <w:tcBorders>
              <w:top w:val="nil"/>
              <w:bottom w:val="nil"/>
            </w:tcBorders>
            <w:vAlign w:val="center"/>
          </w:tcPr>
          <w:p w14:paraId="072B5984" w14:textId="77777777" w:rsidR="00AE000F" w:rsidRPr="009E72FB" w:rsidRDefault="00AE000F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</w:tcBorders>
            <w:vAlign w:val="center"/>
          </w:tcPr>
          <w:p w14:paraId="515438D9" w14:textId="552F8BB9" w:rsidR="00AE000F" w:rsidRPr="009E72FB" w:rsidRDefault="00AE00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- </w:t>
            </w:r>
            <w:r w:rsidRPr="00EB75A5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Oseba, ki je trošarinske izdelke prodala v skladu s predpisanimi pogoji osebi iz 15. in 17. člena tega zakona brez obračunane trošarine, sama pa jih je nabavila po ceni z vključeno trošarino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 xml:space="preserve"> (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5. tč. prvega odst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. 19. člena ZTro-1)</w:t>
            </w:r>
            <w:r w:rsidRPr="009E72FB"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AE000F" w:rsidRPr="009E72FB" w14:paraId="3F7388B4" w14:textId="77777777" w:rsidTr="0099173F">
        <w:trPr>
          <w:trHeight w:val="340"/>
        </w:trPr>
        <w:tc>
          <w:tcPr>
            <w:tcW w:w="3904" w:type="dxa"/>
            <w:tcBorders>
              <w:top w:val="nil"/>
            </w:tcBorders>
            <w:vAlign w:val="center"/>
          </w:tcPr>
          <w:p w14:paraId="0721D541" w14:textId="37D7FFA0" w:rsidR="00AE000F" w:rsidRPr="009E72FB" w:rsidRDefault="00AE000F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vMerge/>
            <w:vAlign w:val="center"/>
          </w:tcPr>
          <w:p w14:paraId="472A5E61" w14:textId="747660EF" w:rsidR="00AE000F" w:rsidRPr="009E72FB" w:rsidRDefault="00AE00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9E72FB" w:rsidRPr="009E72FB" w14:paraId="3184F7FA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4E503695" w14:textId="77777777" w:rsidR="009E72FB" w:rsidRPr="009E72FB" w:rsidRDefault="009E72FB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vAlign w:val="center"/>
          </w:tcPr>
          <w:p w14:paraId="6A9420D3" w14:textId="77777777" w:rsidR="004E3FBB" w:rsidRDefault="009E72FB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 stolpec (11) se vpiše vsota</w:t>
            </w:r>
            <w:r w:rsidR="004E3F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:</w:t>
            </w:r>
          </w:p>
          <w:p w14:paraId="2F6B6E7C" w14:textId="77777777" w:rsidR="004E3FBB" w:rsidRDefault="004E3FBB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- </w:t>
            </w:r>
            <w:r w:rsidR="009E72FB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zmnožka predpisane trošarine z vsebnostjo alkohola v vol. % iz stolpca (2) in količine pijače iz stolpca (5) in</w:t>
            </w:r>
          </w:p>
          <w:p w14:paraId="7F494E9B" w14:textId="77777777" w:rsidR="004E3FBB" w:rsidRDefault="004E3FBB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-</w:t>
            </w:r>
            <w:r w:rsidR="009E72FB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zmnožka predpisane trošarine z vsebnostjo alkohola v vol. % iz stolpca (2) in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E72FB"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količine pijače iz stolpca (6) in</w:t>
            </w:r>
          </w:p>
          <w:p w14:paraId="1A93918C" w14:textId="77777777" w:rsidR="009E72FB" w:rsidRDefault="009E72FB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E3FB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zmnožka predpisane trošarine z vsebnostjo alkohola v vol. % iz stolpca (2) in količine pijače iz stolpca (7).</w:t>
            </w:r>
          </w:p>
          <w:p w14:paraId="764AE01F" w14:textId="2AE0BFB7" w:rsidR="004E3FBB" w:rsidRPr="009E72FB" w:rsidRDefault="004E3FBB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Za količine piva iz stolpcev (6) in (7) sproščene v porabo se pri izračunu trošarinske obveznosti upošteva znižani znesek predpisane trošarine</w:t>
            </w:r>
            <w:r w:rsidR="00AE000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2C3C0F" w:rsidRPr="009E72FB" w14:paraId="6BBE5451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552A0F41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2. Obveznost za davčno obdobje </w:t>
            </w:r>
          </w:p>
        </w:tc>
        <w:tc>
          <w:tcPr>
            <w:tcW w:w="5320" w:type="dxa"/>
            <w:vAlign w:val="center"/>
          </w:tcPr>
          <w:p w14:paraId="49981DDC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vsota zneskov trošarine iz stolpca (11).</w:t>
            </w:r>
          </w:p>
        </w:tc>
      </w:tr>
      <w:tr w:rsidR="002C3C0F" w:rsidRPr="009E72FB" w14:paraId="7EE3680B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7FB587A1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3. Vračilo trošarine </w:t>
            </w:r>
          </w:p>
        </w:tc>
        <w:tc>
          <w:tcPr>
            <w:tcW w:w="5320" w:type="dxa"/>
            <w:vAlign w:val="center"/>
          </w:tcPr>
          <w:p w14:paraId="72213461" w14:textId="7624EB3C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vsota zneskov za vračilo v skladu z 19. členom ZTro-1 iz stolpca (9).</w:t>
            </w:r>
          </w:p>
        </w:tc>
      </w:tr>
      <w:tr w:rsidR="002C3C0F" w:rsidRPr="009E72FB" w14:paraId="7F14620A" w14:textId="77777777" w:rsidTr="0099173F">
        <w:trPr>
          <w:trHeight w:val="340"/>
        </w:trPr>
        <w:tc>
          <w:tcPr>
            <w:tcW w:w="3904" w:type="dxa"/>
            <w:vAlign w:val="center"/>
          </w:tcPr>
          <w:p w14:paraId="751B631B" w14:textId="77777777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4. Za plačilo</w:t>
            </w:r>
          </w:p>
        </w:tc>
        <w:tc>
          <w:tcPr>
            <w:tcW w:w="5320" w:type="dxa"/>
            <w:vAlign w:val="center"/>
          </w:tcPr>
          <w:p w14:paraId="36B5FF6A" w14:textId="093EC6FF" w:rsidR="002C3C0F" w:rsidRPr="009E72FB" w:rsidRDefault="002C3C0F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Vpiše se znesek trošarine za plačilo</w:t>
            </w:r>
            <w:r w:rsidR="005E280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. V primeru uveljavljanja vračila trošarine na obračunu vpiše ime</w:t>
            </w:r>
            <w:r w:rsidR="002E23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t</w:t>
            </w:r>
            <w:r w:rsidR="005E280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nik trošarinskega skladišča ali pooblaščeni prejemnik 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razlik</w:t>
            </w:r>
            <w:r w:rsidR="005E280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o</w:t>
            </w:r>
            <w:r w:rsidRPr="009E72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med obveznostjo za davčno obdobje in vračilom trošarine v skladu z 19. členom ZTro-1.</w:t>
            </w:r>
          </w:p>
        </w:tc>
      </w:tr>
      <w:tr w:rsidR="002E5611" w:rsidRPr="009E72FB" w14:paraId="5DC4F4B4" w14:textId="77777777" w:rsidTr="0099173F">
        <w:trPr>
          <w:trHeight w:val="34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126C" w14:textId="31AA1825" w:rsidR="002A468A" w:rsidRDefault="002E5611" w:rsidP="0099173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>Drugi podatki:</w:t>
            </w: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br/>
              <w:t>— trošarinska številka začasno pooblaščenega prejemnika</w:t>
            </w:r>
            <w:r w:rsidR="00FE4FEA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t xml:space="preserve"> in začasno certificiranega prejemnika</w:t>
            </w: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br/>
              <w:t>— oznaka ARC/oznaka LRN</w:t>
            </w: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br/>
              <w:t>— datum prejema trošarinskih izdelkov</w:t>
            </w:r>
          </w:p>
          <w:p w14:paraId="15B59F84" w14:textId="656D0214" w:rsidR="002E5611" w:rsidRPr="009E72FB" w:rsidRDefault="002E5611" w:rsidP="0099173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9E72FB"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  <w:br/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2F08" w14:textId="151D1E7B" w:rsidR="006D4EEE" w:rsidRPr="006D4EEE" w:rsidRDefault="006D4EEE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D4EE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Začasno pooblaščeni prejemnik in začasno certificirani prejemnik vpišeta trošarinsko številko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6D4EE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oznako ARC (enotno trošarinsko referenčno oznako) iz elektronskega trošarinskega dokumenta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oziroma elektronskega poenostavljenega dokumenta</w:t>
            </w:r>
            <w:r w:rsidRPr="006D4EE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ki se nanašajo na </w:t>
            </w:r>
            <w:r w:rsidRPr="006D4EE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količine trošarinskih izdelkov iz obračuna. Pri uporabi nadomestnega postopka vpišejo oznako LRN (lokalna referenčna številka)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AE000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ki je oznaka računa, dobavnice ali drugega dokumenta</w:t>
            </w:r>
            <w:r w:rsidR="005751B5" w:rsidRPr="00AE000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, ki se nanaša na trošarinske izdelke sproščene v porabo.</w:t>
            </w:r>
          </w:p>
          <w:p w14:paraId="0ACFB7A5" w14:textId="09CCDA6E" w:rsidR="002E5611" w:rsidRPr="009E72FB" w:rsidRDefault="006D4EEE" w:rsidP="0099173F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D4EE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Začasno pooblaščeni prejemnik, začasno certificirani prejemnik in oseba, ki prodaja na daljavo vpišejo datum prejema trošarinskih izdelkov iz druge države članice.</w:t>
            </w:r>
          </w:p>
        </w:tc>
      </w:tr>
    </w:tbl>
    <w:p w14:paraId="67EC8D55" w14:textId="18ED025F" w:rsidR="007B56E5" w:rsidRDefault="007B56E5" w:rsidP="0099173F">
      <w:pPr>
        <w:jc w:val="both"/>
      </w:pPr>
    </w:p>
    <w:p w14:paraId="6AE865DC" w14:textId="77777777" w:rsidR="00740755" w:rsidRDefault="00740755" w:rsidP="0099173F">
      <w:pPr>
        <w:jc w:val="both"/>
      </w:pPr>
    </w:p>
    <w:sectPr w:rsidR="00740755" w:rsidSect="002C3C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3723" w14:textId="77777777" w:rsidR="00E12CAF" w:rsidRDefault="00E12CAF" w:rsidP="002C3C0F">
      <w:pPr>
        <w:spacing w:after="0" w:line="240" w:lineRule="auto"/>
      </w:pPr>
      <w:r>
        <w:separator/>
      </w:r>
    </w:p>
  </w:endnote>
  <w:endnote w:type="continuationSeparator" w:id="0">
    <w:p w14:paraId="3AAC585F" w14:textId="77777777" w:rsidR="00E12CAF" w:rsidRDefault="00E12CAF" w:rsidP="002C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9483" w14:textId="77777777" w:rsidR="00E12CAF" w:rsidRDefault="00E12CAF" w:rsidP="002C3C0F">
      <w:pPr>
        <w:spacing w:after="0" w:line="240" w:lineRule="auto"/>
      </w:pPr>
      <w:r>
        <w:separator/>
      </w:r>
    </w:p>
  </w:footnote>
  <w:footnote w:type="continuationSeparator" w:id="0">
    <w:p w14:paraId="1AB8996F" w14:textId="77777777" w:rsidR="00E12CAF" w:rsidRDefault="00E12CAF" w:rsidP="002C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E377" w14:textId="77777777" w:rsidR="00B7460B" w:rsidRDefault="00B7460B" w:rsidP="00B7460B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TRO-ALK1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D71238A" wp14:editId="186D2CB1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26CD49AA" w14:textId="77777777" w:rsidR="002C3C0F" w:rsidRDefault="002C3C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A50"/>
    <w:multiLevelType w:val="hybridMultilevel"/>
    <w:tmpl w:val="5502BB40"/>
    <w:lvl w:ilvl="0" w:tplc="5AA4CB1A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55B"/>
    <w:multiLevelType w:val="hybridMultilevel"/>
    <w:tmpl w:val="83BC2540"/>
    <w:lvl w:ilvl="0" w:tplc="E8303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611"/>
    <w:multiLevelType w:val="hybridMultilevel"/>
    <w:tmpl w:val="D9C03050"/>
    <w:lvl w:ilvl="0" w:tplc="F13E7194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24AD1"/>
    <w:multiLevelType w:val="hybridMultilevel"/>
    <w:tmpl w:val="D36ED6AA"/>
    <w:lvl w:ilvl="0" w:tplc="E8303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6845">
    <w:abstractNumId w:val="3"/>
  </w:num>
  <w:num w:numId="2" w16cid:durableId="225729232">
    <w:abstractNumId w:val="0"/>
  </w:num>
  <w:num w:numId="3" w16cid:durableId="506989736">
    <w:abstractNumId w:val="1"/>
  </w:num>
  <w:num w:numId="4" w16cid:durableId="117187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0F"/>
    <w:rsid w:val="0000130C"/>
    <w:rsid w:val="00007AC9"/>
    <w:rsid w:val="00032488"/>
    <w:rsid w:val="00235C80"/>
    <w:rsid w:val="002708D0"/>
    <w:rsid w:val="00287D1D"/>
    <w:rsid w:val="00293D8C"/>
    <w:rsid w:val="002A468A"/>
    <w:rsid w:val="002C0D70"/>
    <w:rsid w:val="002C3C0F"/>
    <w:rsid w:val="002E2349"/>
    <w:rsid w:val="002E5611"/>
    <w:rsid w:val="003844AC"/>
    <w:rsid w:val="004A2BAA"/>
    <w:rsid w:val="004B54AF"/>
    <w:rsid w:val="004E3FBB"/>
    <w:rsid w:val="00502D0C"/>
    <w:rsid w:val="005751B5"/>
    <w:rsid w:val="005E2804"/>
    <w:rsid w:val="00677E25"/>
    <w:rsid w:val="006D4EEE"/>
    <w:rsid w:val="006F6526"/>
    <w:rsid w:val="00740755"/>
    <w:rsid w:val="007B56E5"/>
    <w:rsid w:val="007C6B69"/>
    <w:rsid w:val="00893FDF"/>
    <w:rsid w:val="008B1279"/>
    <w:rsid w:val="0099173F"/>
    <w:rsid w:val="009E72FB"/>
    <w:rsid w:val="00A13604"/>
    <w:rsid w:val="00A719E8"/>
    <w:rsid w:val="00AA0B43"/>
    <w:rsid w:val="00AB0EA0"/>
    <w:rsid w:val="00AE000F"/>
    <w:rsid w:val="00B7460B"/>
    <w:rsid w:val="00CB3439"/>
    <w:rsid w:val="00D5221A"/>
    <w:rsid w:val="00D9352A"/>
    <w:rsid w:val="00E12CAF"/>
    <w:rsid w:val="00E34AE6"/>
    <w:rsid w:val="00EB1F73"/>
    <w:rsid w:val="00EB75A5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2E60E"/>
  <w15:docId w15:val="{5F5F80CF-5639-4522-A540-681D0D52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3C0F"/>
  </w:style>
  <w:style w:type="paragraph" w:styleId="Noga">
    <w:name w:val="footer"/>
    <w:basedOn w:val="Navaden"/>
    <w:link w:val="NogaZnak"/>
    <w:uiPriority w:val="99"/>
    <w:unhideWhenUsed/>
    <w:rsid w:val="002C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3C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C0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468A"/>
    <w:pPr>
      <w:ind w:left="720"/>
      <w:contextualSpacing/>
    </w:pPr>
  </w:style>
  <w:style w:type="paragraph" w:styleId="Revizija">
    <w:name w:val="Revision"/>
    <w:hidden/>
    <w:uiPriority w:val="99"/>
    <w:semiHidden/>
    <w:rsid w:val="00AE0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Prevodnik</dc:creator>
  <cp:lastModifiedBy>Sandra Miljević</cp:lastModifiedBy>
  <cp:revision>5</cp:revision>
  <cp:lastPrinted>2017-04-03T09:05:00Z</cp:lastPrinted>
  <dcterms:created xsi:type="dcterms:W3CDTF">2023-07-14T09:44:00Z</dcterms:created>
  <dcterms:modified xsi:type="dcterms:W3CDTF">2023-08-01T11:35:00Z</dcterms:modified>
</cp:coreProperties>
</file>