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3D" w:rsidRDefault="00A6613D"/>
    <w:tbl>
      <w:tblPr>
        <w:tblW w:w="10773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3"/>
        <w:gridCol w:w="6330"/>
      </w:tblGrid>
      <w:tr w:rsidR="00DE0F76" w:rsidRPr="00A6613D" w:rsidTr="00A74F67">
        <w:trPr>
          <w:trHeight w:val="585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27F96" w:rsidRPr="00A6613D" w:rsidRDefault="00DE0F76" w:rsidP="001049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6613D">
              <w:rPr>
                <w:rFonts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Navodilo za izpolnjevanje obrazca </w:t>
            </w:r>
          </w:p>
          <w:p w:rsidR="001049D9" w:rsidRPr="00A6613D" w:rsidRDefault="001049D9" w:rsidP="001049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DE0F76" w:rsidRPr="00A6613D" w:rsidTr="002220B5">
        <w:trPr>
          <w:trHeight w:val="397"/>
        </w:trPr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davčna številka.</w:t>
            </w:r>
          </w:p>
        </w:tc>
      </w:tr>
      <w:tr w:rsidR="00DE0F76" w:rsidRPr="00A6613D" w:rsidTr="002220B5">
        <w:trPr>
          <w:trHeight w:val="397"/>
        </w:trPr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matična številka.</w:t>
            </w:r>
          </w:p>
        </w:tc>
      </w:tr>
      <w:tr w:rsidR="00DE0F76" w:rsidRPr="00A6613D" w:rsidTr="002220B5">
        <w:trPr>
          <w:trHeight w:val="397"/>
        </w:trPr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naziv zavezanca.</w:t>
            </w:r>
          </w:p>
        </w:tc>
      </w:tr>
      <w:tr w:rsidR="00DE0F76" w:rsidRPr="00A6613D" w:rsidTr="002220B5">
        <w:trPr>
          <w:trHeight w:val="397"/>
        </w:trPr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popolni naslov.</w:t>
            </w:r>
          </w:p>
        </w:tc>
      </w:tr>
      <w:tr w:rsidR="00DE0F76" w:rsidRPr="00A6613D" w:rsidTr="002220B5">
        <w:trPr>
          <w:trHeight w:val="397"/>
        </w:trPr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Davčno obdobje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davčno obdobje, na katero se nanaša obračun.</w:t>
            </w:r>
          </w:p>
        </w:tc>
      </w:tr>
      <w:tr w:rsidR="00DE0F76" w:rsidRPr="00A6613D" w:rsidTr="00AD094A">
        <w:trPr>
          <w:trHeight w:val="255"/>
        </w:trPr>
        <w:tc>
          <w:tcPr>
            <w:tcW w:w="4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7F96" w:rsidRPr="00A6613D" w:rsidRDefault="00B27F9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  <w:p w:rsidR="00DE0F76" w:rsidRPr="00A6613D" w:rsidRDefault="00DE0F76" w:rsidP="00F9268A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Trošarinski zavezanec:</w:t>
            </w:r>
          </w:p>
        </w:tc>
        <w:tc>
          <w:tcPr>
            <w:tcW w:w="6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Glede na vrsto trošarinskega zavezanca za električno energijo ali zemeljski plin iz omrežja se označi ustrezno polje. </w:t>
            </w:r>
          </w:p>
        </w:tc>
      </w:tr>
      <w:tr w:rsidR="00DE0F76" w:rsidRPr="00A6613D" w:rsidTr="00AD094A">
        <w:trPr>
          <w:trHeight w:val="630"/>
        </w:trPr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— dobavitelj električne energije končnim odjemalcem v Sloveniji,</w:t>
            </w:r>
          </w:p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— </w:t>
            </w:r>
            <w:r w:rsidR="00B27F96"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k</w:t>
            </w:r>
            <w:r w:rsidR="0086142C"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ončni odjemalec, ki električno energijo za svojo končno rabo pridobi v drugi državi članici oziroma jo uvozi iz tretjih držav ali mu jo dobavi dobavitelj, ki nima sedeža v Sloveniji</w:t>
            </w:r>
          </w:p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— proizvajalec, ki električno energijo proizve</w:t>
            </w:r>
            <w:r w:rsidR="0086142C"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de za pokrivanje lastnih potreb ali jo dobavi drugi osebi za njeno končno rabo</w:t>
            </w:r>
          </w:p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— dobavitelj zemeljskega plina končnim odjemalcem v Sloveniji,</w:t>
            </w:r>
          </w:p>
          <w:p w:rsidR="0086142C" w:rsidRPr="00A6613D" w:rsidRDefault="00FE0D18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FE0D18">
              <w:rPr>
                <w:rFonts w:cs="Calibri"/>
                <w:color w:val="000000"/>
                <w:sz w:val="20"/>
                <w:szCs w:val="20"/>
                <w:lang w:eastAsia="sl-SI"/>
              </w:rPr>
              <w:t>—</w:t>
            </w:r>
            <w:r w:rsidR="0086142C"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 končni odjemalec, ki zemeljski plin iz omrežja za svojo končno rabo pridobi v drugi državi članici  oziroma ga uvozi iz tretjih držav ali mu ga dobavi dobavitelj, ki nima sedeža v Sloveniji </w:t>
            </w:r>
          </w:p>
          <w:p w:rsidR="00DE0F76" w:rsidRPr="00A6613D" w:rsidRDefault="00DE0F76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—</w:t>
            </w:r>
            <w:r w:rsidR="00FE0D18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6142C"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proizvajalec, ki proizvedeni zemeljski plin porabi za pokrivanje lastnih potreb ali  ga dobavi drugi osebi za njeno končno rabo</w:t>
            </w:r>
          </w:p>
          <w:p w:rsidR="00F9268A" w:rsidRPr="00A6613D" w:rsidRDefault="00F9268A" w:rsidP="00F9268A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Drugi plačnik trošarine</w:t>
            </w:r>
          </w:p>
          <w:p w:rsidR="00F9268A" w:rsidRPr="00A6613D" w:rsidRDefault="00F9268A" w:rsidP="00F9268A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Oproščeni uporabnik</w:t>
            </w:r>
          </w:p>
          <w:p w:rsidR="00F9268A" w:rsidRPr="00A6613D" w:rsidRDefault="00F9268A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  <w:p w:rsidR="00B27F96" w:rsidRPr="00A6613D" w:rsidRDefault="00B27F96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DE0F76" w:rsidRPr="00A6613D" w:rsidTr="00AD094A">
        <w:trPr>
          <w:trHeight w:val="1020"/>
        </w:trPr>
        <w:tc>
          <w:tcPr>
            <w:tcW w:w="4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268A" w:rsidRPr="00A6613D" w:rsidRDefault="00F9268A" w:rsidP="00F9268A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t>Obračunski del</w:t>
            </w:r>
          </w:p>
          <w:p w:rsidR="00F9268A" w:rsidRPr="00A6613D" w:rsidRDefault="00F9268A" w:rsidP="00F9268A">
            <w:pPr>
              <w:pStyle w:val="Odstavekseznama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  <w:p w:rsidR="00DE0F76" w:rsidRPr="00A6613D" w:rsidRDefault="006A1F58" w:rsidP="002216E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t>Električna energija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F96" w:rsidRPr="00A6613D" w:rsidRDefault="00B27F96" w:rsidP="006A1F58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DE0F76" w:rsidRPr="00A6613D" w:rsidRDefault="00DE0F76" w:rsidP="006A1F58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(3) </w:t>
            </w:r>
            <w:r w:rsidR="006A1F58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se na podlagi uvrstitve v določeno stopnjo odjema vpiše  v ustrezno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zaporedno številko </w:t>
            </w:r>
            <w:r w:rsidR="0086142C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od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1.1 </w:t>
            </w:r>
            <w:r w:rsidR="0086142C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d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o 1.</w:t>
            </w:r>
            <w:r w:rsidR="0086142C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4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količina </w:t>
            </w:r>
            <w:r w:rsidR="006A1F58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električne energije v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ustrezni obračunski enoti, na tri decimalna mesta, za katero je v davčnem obdobju nastala obveznost za obračun trošarine :</w:t>
            </w:r>
          </w:p>
        </w:tc>
      </w:tr>
      <w:tr w:rsidR="00DE0F76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0F76" w:rsidRPr="00B406F1" w:rsidRDefault="006A1F58" w:rsidP="00B406F1">
            <w:pPr>
              <w:pStyle w:val="Odstavekseznama"/>
              <w:numPr>
                <w:ilvl w:val="1"/>
                <w:numId w:val="12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B406F1">
              <w:rPr>
                <w:rFonts w:cs="Calibri"/>
                <w:color w:val="000000"/>
                <w:sz w:val="20"/>
                <w:szCs w:val="20"/>
                <w:lang w:eastAsia="sl-SI"/>
              </w:rPr>
              <w:t>I. stopnja od 0 do 20 MWh/leto</w:t>
            </w:r>
          </w:p>
          <w:p w:rsidR="00B406F1" w:rsidRPr="00B406F1" w:rsidRDefault="00B406F1" w:rsidP="00B406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0F76" w:rsidRPr="00A6613D" w:rsidRDefault="00DE0F76" w:rsidP="006A1F58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— dobavitelj vpiše količine, dobavljene končnim odjemalce</w:t>
            </w:r>
            <w:r w:rsidR="00FE0D18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m v Sloveniji v davčnem obdobju;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E0F76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0F76" w:rsidRPr="00A6613D" w:rsidRDefault="00DE0F76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1.2      </w:t>
            </w:r>
            <w:r w:rsidR="006A1F58"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II. stopnja od 20 MWh do 160 MWh/leto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0F76" w:rsidRPr="00A6613D" w:rsidRDefault="00DE0F76" w:rsidP="00F43183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— končni odjemalec vpiše količine, </w:t>
            </w:r>
            <w:r w:rsidR="001B4B3A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ki jih je za svojo končno rabo pridobil v drugi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držav</w:t>
            </w:r>
            <w:r w:rsidR="001B4B3A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i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članic</w:t>
            </w:r>
            <w:r w:rsidR="001B4B3A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i ali mu jih je dobavil dobavitelj, ki nima sedeža v S</w:t>
            </w:r>
            <w:r w:rsidR="00961A23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loveniji</w:t>
            </w:r>
            <w:r w:rsidR="00FE0D18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;</w:t>
            </w:r>
          </w:p>
        </w:tc>
      </w:tr>
      <w:tr w:rsidR="00DE0F76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0F76" w:rsidRPr="00A6613D" w:rsidRDefault="006A1F58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1.3      III. stopnja od 160 MWh do 10.000 MWh/leto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43183" w:rsidRDefault="00DE0F76" w:rsidP="00F43183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— proizvajalec vpiše količine, proizvedene za pokrivanje lastnih potreb</w:t>
            </w:r>
            <w:r w:rsidR="006A1F58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in količine, ki jih dobavi drugi osebi za njeno končno rabo.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B406F1" w:rsidRDefault="00B406F1" w:rsidP="00F43183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F43183" w:rsidRPr="00A6613D" w:rsidRDefault="00F43183" w:rsidP="00E0726F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DE0F76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183" w:rsidRDefault="00F43183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  <w:p w:rsidR="00F43183" w:rsidRDefault="006A1F58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1.4      IV. stopnja nad 10.000 MWh/leto</w:t>
            </w:r>
          </w:p>
          <w:p w:rsidR="00F43183" w:rsidRDefault="00F43183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  <w:p w:rsidR="00F43183" w:rsidRDefault="00F43183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  <w:p w:rsidR="00F43183" w:rsidRDefault="00F43183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  <w:p w:rsidR="00F43183" w:rsidRPr="00A6613D" w:rsidRDefault="00F43183" w:rsidP="006A1F5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7F96" w:rsidRPr="00A6613D" w:rsidRDefault="00F9268A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 stolpec (4</w:t>
            </w:r>
            <w:r w:rsidR="00DE0F76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) se vpiše zmnožek zneska predpisane trošarine za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stopnjo odjema in </w:t>
            </w:r>
            <w:r w:rsidR="00DE0F76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količine pod zaporedno številko</w:t>
            </w:r>
            <w:r w:rsidR="002216E7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od</w:t>
            </w:r>
            <w:r w:rsidR="00DE0F76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1.1 </w:t>
            </w:r>
            <w:r w:rsidR="002216E7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do </w:t>
            </w:r>
            <w:r w:rsidR="00DE0F76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1.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4</w:t>
            </w:r>
            <w:r w:rsidR="00DE0F76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v stolpcu (3).</w:t>
            </w:r>
          </w:p>
          <w:p w:rsidR="00B27F96" w:rsidRPr="00A6613D" w:rsidRDefault="00B27F9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B27F96" w:rsidRPr="00A6613D" w:rsidRDefault="00B27F9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DE0F76" w:rsidRPr="00A6613D" w:rsidTr="002220B5">
        <w:trPr>
          <w:trHeight w:val="816"/>
        </w:trPr>
        <w:tc>
          <w:tcPr>
            <w:tcW w:w="4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7F96" w:rsidRPr="00A6613D" w:rsidRDefault="00DE0F76" w:rsidP="00AD09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  <w:p w:rsidR="00B27F96" w:rsidRPr="00A6613D" w:rsidRDefault="00B27F96" w:rsidP="00AD09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  <w:p w:rsidR="00DE0F76" w:rsidRDefault="002216E7" w:rsidP="002216E7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2216E7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E0F76" w:rsidRPr="002216E7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t>Zemeljski plin iz omrežja</w:t>
            </w:r>
          </w:p>
          <w:p w:rsidR="002216E7" w:rsidRPr="002216E7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43183" w:rsidRDefault="00F43183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DE0F76" w:rsidRPr="00A6613D" w:rsidRDefault="00DE0F76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 stolpec (3)</w:t>
            </w:r>
            <w:r w:rsidR="002216E7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se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pod zaporedno številko </w:t>
            </w:r>
            <w:r w:rsidR="002216E7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od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2.1 </w:t>
            </w:r>
            <w:r w:rsidR="002216E7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do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2.</w:t>
            </w:r>
            <w:r w:rsidR="002216E7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3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vpiše količina v ustrezni obračunski enoti, na tri decimalna mesta, za katero je v davčnem obdobju nastala obveznost za obračun trošarine in je bila porabljena za pogonski namen oziroma za gorivo za ogrevanje</w:t>
            </w:r>
            <w:r w:rsidR="00F43183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oziroma za pogon vozil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:</w:t>
            </w:r>
          </w:p>
        </w:tc>
      </w:tr>
      <w:tr w:rsidR="00DE0F76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 2.1    z</w:t>
            </w:r>
            <w:r w:rsidRPr="00A6613D">
              <w:rPr>
                <w:rFonts w:cs="Calibri"/>
                <w:sz w:val="20"/>
                <w:szCs w:val="20"/>
                <w:lang w:eastAsia="sl-SI"/>
              </w:rPr>
              <w:t>a pogonski namen</w:t>
            </w:r>
          </w:p>
          <w:p w:rsidR="00DE0F76" w:rsidRPr="00A6613D" w:rsidRDefault="00DE0F76" w:rsidP="00AD094A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DE0F76" w:rsidRPr="00A6613D" w:rsidRDefault="00DE0F76" w:rsidP="00AD09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 2.1    z</w:t>
            </w:r>
            <w:r w:rsidRPr="00A6613D">
              <w:rPr>
                <w:rFonts w:cs="Calibri"/>
                <w:sz w:val="20"/>
                <w:szCs w:val="20"/>
                <w:lang w:eastAsia="sl-SI"/>
              </w:rPr>
              <w:t>a gorivo za ogrevanje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0F76" w:rsidRPr="00A6613D" w:rsidRDefault="00DE0F76" w:rsidP="00F43183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— dobavitelj vpiše količine, dobavljene končnim odjemalcem v Sloveniji v davčnem obdobju; </w:t>
            </w: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  <w:lang w:eastAsia="sl-SI"/>
              </w:rPr>
              <w:t>2.3</w:t>
            </w: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    z</w:t>
            </w:r>
            <w:r w:rsidRPr="00A6613D">
              <w:rPr>
                <w:rFonts w:cs="Calibri"/>
                <w:sz w:val="20"/>
                <w:szCs w:val="20"/>
                <w:lang w:eastAsia="sl-SI"/>
              </w:rPr>
              <w:t xml:space="preserve">a </w:t>
            </w:r>
            <w:r>
              <w:rPr>
                <w:rFonts w:cs="Calibri"/>
                <w:sz w:val="20"/>
                <w:szCs w:val="20"/>
                <w:lang w:eastAsia="sl-SI"/>
              </w:rPr>
              <w:t>pogon vozil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216E7" w:rsidRPr="00A6613D" w:rsidRDefault="002216E7" w:rsidP="00F43183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— končni odjemalec vpiše količine, ki jih je za svojo končno rabo pridobil v drugi  državi članici ali mu jih je dobavil dobavitelj, ki nima sedeža v Sloveniji</w:t>
            </w:r>
            <w:r w:rsidR="00F43183"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;</w:t>
            </w: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406F1" w:rsidRDefault="002216E7" w:rsidP="002216E7">
            <w:pPr>
              <w:spacing w:after="0" w:line="240" w:lineRule="auto"/>
              <w:rPr>
                <w:rFonts w:cs="Calibri"/>
                <w:bCs/>
                <w:i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— proizvajalec, ki proizvedeni zemeljski plin porabi za pokrivanje lastnih potreb ali ga dobavi drugi osebi za njeno končno rabo   vpiše količine</w:t>
            </w:r>
            <w:r w:rsidR="00F43183">
              <w:rPr>
                <w:rFonts w:cs="Calibri"/>
                <w:bCs/>
                <w:i/>
                <w:sz w:val="20"/>
                <w:szCs w:val="20"/>
                <w:lang w:eastAsia="sl-SI"/>
              </w:rPr>
              <w:t xml:space="preserve">. </w:t>
            </w:r>
          </w:p>
          <w:p w:rsidR="00B406F1" w:rsidRDefault="00B406F1" w:rsidP="002216E7">
            <w:pPr>
              <w:spacing w:after="0" w:line="240" w:lineRule="auto"/>
              <w:rPr>
                <w:rFonts w:cs="Calibri"/>
                <w:bCs/>
                <w:i/>
                <w:sz w:val="20"/>
                <w:szCs w:val="20"/>
                <w:lang w:eastAsia="sl-SI"/>
              </w:rPr>
            </w:pPr>
          </w:p>
          <w:p w:rsidR="002216E7" w:rsidRDefault="00F43183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i/>
                <w:sz w:val="20"/>
                <w:szCs w:val="20"/>
                <w:lang w:eastAsia="sl-SI"/>
              </w:rPr>
              <w:t>L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očeno se vpišejo količine za pogons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ki namen, ločeno za ogrevanje in ločeno </w:t>
            </w:r>
            <w:r w:rsidR="00B406F1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za pogon vozil</w:t>
            </w:r>
            <w:r w:rsidR="002216E7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(4) se vpiše zmnožek zneska predpisane trošarine za pogonski namen oziroma za gorivo za ogrevanje 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oziroma za pogon vozil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in količine pod zaporedno številko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od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2.1 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do 2.3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 stolpcu (3).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3. Obveznost za davčno obdobje </w:t>
            </w:r>
          </w:p>
        </w:tc>
        <w:tc>
          <w:tcPr>
            <w:tcW w:w="6330" w:type="dxa"/>
            <w:tcBorders>
              <w:left w:val="nil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ustrezna vsota zneskov trošarine iz stolpca (4).</w:t>
            </w: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4. Za plačilo</w:t>
            </w:r>
          </w:p>
        </w:tc>
        <w:tc>
          <w:tcPr>
            <w:tcW w:w="633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obveznost za davčno obdobje iz vrstice ((3) obračunski del).</w:t>
            </w: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t>Poračun trošarine</w:t>
            </w:r>
          </w:p>
          <w:p w:rsidR="002216E7" w:rsidRPr="00A6613D" w:rsidRDefault="002216E7" w:rsidP="002216E7">
            <w:pPr>
              <w:pStyle w:val="Odstavekseznama"/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t>1. Električna energija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Trošarinski zavezanec za električno energijo v  poračun trošarine pri električni energiji vpiše v stolpec ((3) poračun)  znesek, s katerim želi povečati skupni znesek za plačilo trošarine iz stolpca ((4) obračunski del), </w:t>
            </w:r>
            <w:r w:rsidRPr="00A6613D">
              <w:rPr>
                <w:rFonts w:cs="Calibri"/>
                <w:b/>
                <w:i/>
                <w:iCs/>
                <w:color w:val="000000"/>
                <w:sz w:val="20"/>
                <w:szCs w:val="20"/>
                <w:lang w:eastAsia="sl-SI"/>
              </w:rPr>
              <w:t>oziroma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vpiše v stolpec ((4) poračun) znesek,  s katerim želi znižati skupni znesek za plačilo trošarine iz stolpca ((4)  obračunski del). Zneski se vpisujejo  kot posledica dejansko dobavljenih količin v preteklih davčnih obdobjih oz. zaradi spremembe stopenj odjema. </w:t>
            </w:r>
            <w:bookmarkStart w:id="0" w:name="_GoBack"/>
            <w:bookmarkEnd w:id="0"/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  <w:lastRenderedPageBreak/>
              <w:t>2. Zemeljski plin iz omrežja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  <w:p w:rsidR="002216E7" w:rsidRPr="002216E7" w:rsidRDefault="002216E7" w:rsidP="002216E7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 xml:space="preserve">    </w:t>
            </w:r>
            <w:r w:rsidRPr="002216E7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  <w:p w:rsidR="002216E7" w:rsidRPr="002216E7" w:rsidRDefault="002216E7" w:rsidP="002216E7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sl-SI"/>
              </w:rPr>
              <w:t xml:space="preserve">    </w:t>
            </w:r>
            <w:r w:rsidRPr="002216E7">
              <w:rPr>
                <w:rFonts w:cs="Calibri"/>
                <w:color w:val="000000"/>
                <w:sz w:val="20"/>
                <w:szCs w:val="20"/>
                <w:lang w:eastAsia="sl-SI"/>
              </w:rPr>
              <w:t>z</w:t>
            </w:r>
            <w:r w:rsidRPr="002216E7">
              <w:rPr>
                <w:rFonts w:cs="Calibri"/>
                <w:sz w:val="20"/>
                <w:szCs w:val="20"/>
                <w:lang w:eastAsia="sl-SI"/>
              </w:rPr>
              <w:t>a gorivo za ogrevanje</w:t>
            </w:r>
          </w:p>
          <w:p w:rsidR="002216E7" w:rsidRPr="002216E7" w:rsidRDefault="002216E7" w:rsidP="002216E7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  <w:p w:rsidR="002216E7" w:rsidRPr="00A6613D" w:rsidRDefault="002216E7" w:rsidP="002216E7">
            <w:pPr>
              <w:pStyle w:val="Odstavekseznama"/>
              <w:numPr>
                <w:ilvl w:val="1"/>
                <w:numId w:val="11"/>
              </w:numPr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 xml:space="preserve">    </w:t>
            </w:r>
            <w:r w:rsidRPr="002216E7">
              <w:rPr>
                <w:rFonts w:cs="Calibri"/>
                <w:sz w:val="20"/>
                <w:szCs w:val="20"/>
                <w:lang w:eastAsia="sl-SI"/>
              </w:rPr>
              <w:t>za pogon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vozil</w:t>
            </w:r>
          </w:p>
        </w:tc>
        <w:tc>
          <w:tcPr>
            <w:tcW w:w="6330" w:type="dxa"/>
            <w:tcBorders>
              <w:left w:val="nil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Dobavitelj zemeljskega plina opravi poračun  trošarine v mesečnem obračunu trošarine za mesec, v katerem ugotovi dejansko dobavljene količine zemeljskega plina. V poračun se vpiše (ločeno za pogonski name</w:t>
            </w:r>
            <w:r w:rsidR="00B406F1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ločeno za gorivo za ogrevanje</w:t>
            </w:r>
            <w:r w:rsidR="00B406F1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in ločeno za pogon vozil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)  znesek  za povečanje </w:t>
            </w:r>
            <w:r w:rsidRPr="00A6613D">
              <w:rPr>
                <w:rFonts w:cs="Calibri"/>
                <w:b/>
                <w:i/>
                <w:iCs/>
                <w:color w:val="000000"/>
                <w:sz w:val="20"/>
                <w:szCs w:val="20"/>
                <w:lang w:eastAsia="sl-SI"/>
              </w:rPr>
              <w:t>oziroma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znesek za znižanje zneska trošarine iz stolpca ((4) obračunski del), kot posledica dejansko dobavljenih količin v preteklih davčnih obdobjih.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Skupaj trošarina v evrih (stolpec 5)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left w:val="nil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V </w:t>
            </w:r>
            <w:r w:rsidRPr="00A6613D">
              <w:rPr>
                <w:rFonts w:cs="Calibri"/>
                <w:i/>
                <w:iCs/>
                <w:sz w:val="20"/>
                <w:szCs w:val="20"/>
                <w:lang w:eastAsia="sl-SI"/>
              </w:rPr>
              <w:t>stolpec</w:t>
            </w:r>
            <w:r w:rsidRPr="00A6613D">
              <w:rPr>
                <w:rFonts w:cs="Calibri"/>
                <w:b/>
                <w:i/>
                <w:sz w:val="20"/>
                <w:szCs w:val="20"/>
                <w:lang w:eastAsia="sl-SI"/>
              </w:rPr>
              <w:t xml:space="preserve"> </w:t>
            </w:r>
            <w:r w:rsidRPr="00A6613D">
              <w:rPr>
                <w:rFonts w:cs="Calibri"/>
                <w:i/>
                <w:sz w:val="20"/>
                <w:szCs w:val="20"/>
                <w:lang w:eastAsia="sl-SI"/>
              </w:rPr>
              <w:t>((5) poračun))</w:t>
            </w:r>
            <w:r w:rsidRPr="00A6613D">
              <w:rPr>
                <w:rFonts w:cs="Calibri"/>
                <w:i/>
                <w:iCs/>
                <w:sz w:val="20"/>
                <w:szCs w:val="20"/>
                <w:lang w:eastAsia="sl-SI"/>
              </w:rPr>
              <w:t xml:space="preserve"> se pri električni energiji vpiše </w:t>
            </w:r>
            <w:r w:rsidRPr="00A6613D">
              <w:rPr>
                <w:rFonts w:cs="Calibri"/>
                <w:b/>
                <w:i/>
                <w:iCs/>
                <w:sz w:val="20"/>
                <w:szCs w:val="20"/>
                <w:lang w:eastAsia="sl-SI"/>
              </w:rPr>
              <w:t xml:space="preserve">rezultat </w:t>
            </w:r>
            <w:r w:rsidRPr="00A6613D">
              <w:rPr>
                <w:rFonts w:cs="Calibri"/>
                <w:i/>
                <w:iCs/>
                <w:sz w:val="20"/>
                <w:szCs w:val="20"/>
                <w:lang w:eastAsia="sl-SI"/>
              </w:rPr>
              <w:t xml:space="preserve">vsote zneskov trošarine za električno energijo iz  vrstic 1.1. do 1.4. iz stolpca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((4) obračunski del), povečan za znesek iz stolpca ((3) poračun) ali zmanjšan za znesek iz stolpca ((4) poračun).</w:t>
            </w:r>
          </w:p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330" w:type="dxa"/>
            <w:tcBorders>
              <w:left w:val="nil"/>
              <w:right w:val="single" w:sz="8" w:space="0" w:color="auto"/>
            </w:tcBorders>
            <w:vAlign w:val="center"/>
          </w:tcPr>
          <w:p w:rsidR="002216E7" w:rsidRPr="00A6613D" w:rsidRDefault="002216E7" w:rsidP="005415F0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 stolpec</w:t>
            </w:r>
            <w:r w:rsidRPr="00A6613D">
              <w:rPr>
                <w:rFonts w:cs="Calibri"/>
                <w:b/>
                <w:i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A6613D">
              <w:rPr>
                <w:rFonts w:cs="Calibri"/>
                <w:i/>
                <w:color w:val="000000"/>
                <w:sz w:val="20"/>
                <w:szCs w:val="20"/>
                <w:lang w:eastAsia="sl-SI"/>
              </w:rPr>
              <w:t xml:space="preserve">((5) poračun)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se pri zemeljskem plinu vpiše  (ločeno za pogonski namen</w:t>
            </w:r>
            <w:r w:rsidR="005415F0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,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ločeno za gorivo za  ogrevanje</w:t>
            </w:r>
            <w:r w:rsidR="005415F0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in ločeno za pogon vozil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), znesek trošarine iz stolpca ((4) obračunski del), povečan za znesek iz stolpca ((3) poračun </w:t>
            </w:r>
            <w:r w:rsidRPr="005415F0">
              <w:rPr>
                <w:rFonts w:cs="Calibri"/>
                <w:b/>
                <w:i/>
                <w:iCs/>
                <w:color w:val="000000"/>
                <w:sz w:val="20"/>
                <w:szCs w:val="20"/>
                <w:lang w:eastAsia="sl-SI"/>
              </w:rPr>
              <w:t xml:space="preserve">ali 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zmanjšan  za znesek  iz stolpca ((4) poračun).</w:t>
            </w: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3. Obveznost za davčno obdobje</w:t>
            </w:r>
          </w:p>
        </w:tc>
        <w:tc>
          <w:tcPr>
            <w:tcW w:w="6330" w:type="dxa"/>
            <w:tcBorders>
              <w:left w:val="nil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vsota zneskov trošarine iz  stolpca</w:t>
            </w:r>
            <w:r w:rsidRPr="00A6613D">
              <w:rPr>
                <w:rFonts w:cs="Calibri"/>
                <w:i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((5) poračun). </w:t>
            </w:r>
          </w:p>
        </w:tc>
      </w:tr>
      <w:tr w:rsidR="002216E7" w:rsidRPr="00A6613D" w:rsidTr="002220B5">
        <w:trPr>
          <w:trHeight w:val="567"/>
        </w:trPr>
        <w:tc>
          <w:tcPr>
            <w:tcW w:w="4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color w:val="000000"/>
                <w:sz w:val="20"/>
                <w:szCs w:val="20"/>
                <w:lang w:eastAsia="sl-SI"/>
              </w:rPr>
              <w:t>4.  Za plačilo</w:t>
            </w:r>
          </w:p>
        </w:tc>
        <w:tc>
          <w:tcPr>
            <w:tcW w:w="633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6E7" w:rsidRPr="00A6613D" w:rsidRDefault="002216E7" w:rsidP="002216E7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A6613D">
              <w:rPr>
                <w:rFonts w:cs="Calibri"/>
                <w:i/>
                <w:iCs/>
                <w:color w:val="000000"/>
                <w:sz w:val="20"/>
                <w:szCs w:val="20"/>
                <w:lang w:eastAsia="sl-SI"/>
              </w:rPr>
              <w:t>Vpiše se obveznost za davčno obdobje iz vrstice ((3) poračun).</w:t>
            </w:r>
          </w:p>
        </w:tc>
      </w:tr>
    </w:tbl>
    <w:p w:rsidR="00DE0F76" w:rsidRPr="00A6613D" w:rsidRDefault="00DE0F76">
      <w:pPr>
        <w:rPr>
          <w:sz w:val="20"/>
          <w:szCs w:val="20"/>
        </w:rPr>
      </w:pPr>
    </w:p>
    <w:sectPr w:rsidR="00DE0F76" w:rsidRPr="00A6613D" w:rsidSect="00103290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D9" w:rsidRDefault="001049D9" w:rsidP="00125D62">
      <w:pPr>
        <w:spacing w:after="0" w:line="240" w:lineRule="auto"/>
      </w:pPr>
      <w:r>
        <w:separator/>
      </w:r>
    </w:p>
  </w:endnote>
  <w:endnote w:type="continuationSeparator" w:id="0">
    <w:p w:rsidR="001049D9" w:rsidRDefault="001049D9" w:rsidP="0012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D9" w:rsidRDefault="001049D9" w:rsidP="00125D62">
      <w:pPr>
        <w:spacing w:after="0" w:line="240" w:lineRule="auto"/>
      </w:pPr>
      <w:r>
        <w:separator/>
      </w:r>
    </w:p>
  </w:footnote>
  <w:footnote w:type="continuationSeparator" w:id="0">
    <w:p w:rsidR="001049D9" w:rsidRDefault="001049D9" w:rsidP="0012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3D" w:rsidRDefault="00A6613D" w:rsidP="00A6613D">
    <w:pPr>
      <w:pStyle w:val="Glava"/>
      <w:tabs>
        <w:tab w:val="center" w:pos="8364"/>
      </w:tabs>
      <w:rPr>
        <w:rFonts w:ascii="Arial" w:hAnsi="Arial" w:cs="Arial"/>
      </w:rPr>
    </w:pPr>
    <w:r w:rsidRPr="00C808B6">
      <w:t>Obrazec:</w:t>
    </w:r>
    <w:r>
      <w:t xml:space="preserve"> TRO-E3</w:t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5A306ADE" wp14:editId="0E809BFF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  <w:p w:rsidR="001049D9" w:rsidRDefault="001049D9" w:rsidP="0047011B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39D"/>
    <w:multiLevelType w:val="multilevel"/>
    <w:tmpl w:val="4118B61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" w15:restartNumberingAfterBreak="0">
    <w:nsid w:val="09301E00"/>
    <w:multiLevelType w:val="hybridMultilevel"/>
    <w:tmpl w:val="82CC48C4"/>
    <w:lvl w:ilvl="0" w:tplc="18F285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118B"/>
    <w:multiLevelType w:val="multilevel"/>
    <w:tmpl w:val="01F2E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206311E"/>
    <w:multiLevelType w:val="hybridMultilevel"/>
    <w:tmpl w:val="153CF8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51D"/>
    <w:multiLevelType w:val="multilevel"/>
    <w:tmpl w:val="478C3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" w15:restartNumberingAfterBreak="0">
    <w:nsid w:val="20370FF8"/>
    <w:multiLevelType w:val="hybridMultilevel"/>
    <w:tmpl w:val="653E7E5E"/>
    <w:lvl w:ilvl="0" w:tplc="72409B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0498"/>
    <w:multiLevelType w:val="hybridMultilevel"/>
    <w:tmpl w:val="7588844E"/>
    <w:lvl w:ilvl="0" w:tplc="6CEAB80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5DBF"/>
    <w:multiLevelType w:val="hybridMultilevel"/>
    <w:tmpl w:val="B0B24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1715"/>
    <w:multiLevelType w:val="multilevel"/>
    <w:tmpl w:val="4118B61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9" w15:restartNumberingAfterBreak="0">
    <w:nsid w:val="571B6718"/>
    <w:multiLevelType w:val="hybridMultilevel"/>
    <w:tmpl w:val="BD004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4630E"/>
    <w:multiLevelType w:val="hybridMultilevel"/>
    <w:tmpl w:val="153CF8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177B0"/>
    <w:multiLevelType w:val="multilevel"/>
    <w:tmpl w:val="F1E20D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9goOBRyqGIpkXionn2yUydYfpF+LG/hNBgtzEgoW8hdx6i4qL0fwE5f3XTrMIKfqFiaTlKhC0wWkB0lAM5I+Q==" w:salt="FugIbZUVH2ilEIvmcMiso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2"/>
    <w:rsid w:val="00004481"/>
    <w:rsid w:val="00032BB0"/>
    <w:rsid w:val="00034FFE"/>
    <w:rsid w:val="00044E3E"/>
    <w:rsid w:val="000A0904"/>
    <w:rsid w:val="000B3214"/>
    <w:rsid w:val="000D243C"/>
    <w:rsid w:val="000D5ED8"/>
    <w:rsid w:val="000E70D2"/>
    <w:rsid w:val="00103290"/>
    <w:rsid w:val="001049D9"/>
    <w:rsid w:val="00112182"/>
    <w:rsid w:val="00112841"/>
    <w:rsid w:val="00114468"/>
    <w:rsid w:val="001170EF"/>
    <w:rsid w:val="00122FBB"/>
    <w:rsid w:val="00125D62"/>
    <w:rsid w:val="00132223"/>
    <w:rsid w:val="00146821"/>
    <w:rsid w:val="001545C2"/>
    <w:rsid w:val="001667D4"/>
    <w:rsid w:val="00175B90"/>
    <w:rsid w:val="00193233"/>
    <w:rsid w:val="00197D52"/>
    <w:rsid w:val="001B4B3A"/>
    <w:rsid w:val="001B71A3"/>
    <w:rsid w:val="001D41A7"/>
    <w:rsid w:val="002216E7"/>
    <w:rsid w:val="002220B5"/>
    <w:rsid w:val="00231CA7"/>
    <w:rsid w:val="002352F2"/>
    <w:rsid w:val="00251176"/>
    <w:rsid w:val="00260848"/>
    <w:rsid w:val="00265391"/>
    <w:rsid w:val="00265F58"/>
    <w:rsid w:val="00270724"/>
    <w:rsid w:val="002868D4"/>
    <w:rsid w:val="0029092E"/>
    <w:rsid w:val="0029165D"/>
    <w:rsid w:val="00296606"/>
    <w:rsid w:val="002A62F9"/>
    <w:rsid w:val="002B0BAD"/>
    <w:rsid w:val="002D37AC"/>
    <w:rsid w:val="002D5DB5"/>
    <w:rsid w:val="002E59B4"/>
    <w:rsid w:val="00301E1A"/>
    <w:rsid w:val="00311CC4"/>
    <w:rsid w:val="00317770"/>
    <w:rsid w:val="00324B3B"/>
    <w:rsid w:val="00325644"/>
    <w:rsid w:val="00361C9F"/>
    <w:rsid w:val="003C6A9F"/>
    <w:rsid w:val="003E58B1"/>
    <w:rsid w:val="003E77CC"/>
    <w:rsid w:val="00401E58"/>
    <w:rsid w:val="00403666"/>
    <w:rsid w:val="00412813"/>
    <w:rsid w:val="00412C55"/>
    <w:rsid w:val="00414C64"/>
    <w:rsid w:val="00422AAB"/>
    <w:rsid w:val="00425637"/>
    <w:rsid w:val="004456DC"/>
    <w:rsid w:val="004616AE"/>
    <w:rsid w:val="0047011B"/>
    <w:rsid w:val="00476CE2"/>
    <w:rsid w:val="00477B20"/>
    <w:rsid w:val="00483881"/>
    <w:rsid w:val="00495E42"/>
    <w:rsid w:val="004A1B9E"/>
    <w:rsid w:val="004A3FCF"/>
    <w:rsid w:val="004D2C58"/>
    <w:rsid w:val="004F5ED7"/>
    <w:rsid w:val="00510C7A"/>
    <w:rsid w:val="00512C5A"/>
    <w:rsid w:val="005415F0"/>
    <w:rsid w:val="00567FCA"/>
    <w:rsid w:val="0059795A"/>
    <w:rsid w:val="005B13AA"/>
    <w:rsid w:val="005F000A"/>
    <w:rsid w:val="00610D78"/>
    <w:rsid w:val="00610E36"/>
    <w:rsid w:val="0061799C"/>
    <w:rsid w:val="00622CB9"/>
    <w:rsid w:val="00625F83"/>
    <w:rsid w:val="00626D3A"/>
    <w:rsid w:val="00630448"/>
    <w:rsid w:val="00651304"/>
    <w:rsid w:val="00654125"/>
    <w:rsid w:val="00656AD6"/>
    <w:rsid w:val="00662011"/>
    <w:rsid w:val="006637A3"/>
    <w:rsid w:val="006668FD"/>
    <w:rsid w:val="006734CE"/>
    <w:rsid w:val="00681A7F"/>
    <w:rsid w:val="006A1F58"/>
    <w:rsid w:val="006A363D"/>
    <w:rsid w:val="006B0D31"/>
    <w:rsid w:val="006B5A7D"/>
    <w:rsid w:val="006B6B78"/>
    <w:rsid w:val="006D4330"/>
    <w:rsid w:val="00704D56"/>
    <w:rsid w:val="00712316"/>
    <w:rsid w:val="007270B1"/>
    <w:rsid w:val="00731F7D"/>
    <w:rsid w:val="007707E0"/>
    <w:rsid w:val="00773419"/>
    <w:rsid w:val="007913FE"/>
    <w:rsid w:val="0079774B"/>
    <w:rsid w:val="007A7459"/>
    <w:rsid w:val="007E1C2A"/>
    <w:rsid w:val="007F1E99"/>
    <w:rsid w:val="008110B2"/>
    <w:rsid w:val="008469BA"/>
    <w:rsid w:val="0086116C"/>
    <w:rsid w:val="0086142C"/>
    <w:rsid w:val="00894833"/>
    <w:rsid w:val="0089570D"/>
    <w:rsid w:val="008A453C"/>
    <w:rsid w:val="008B490A"/>
    <w:rsid w:val="008B4921"/>
    <w:rsid w:val="008B792B"/>
    <w:rsid w:val="008D1E3F"/>
    <w:rsid w:val="008E54D1"/>
    <w:rsid w:val="008F2BB1"/>
    <w:rsid w:val="00910004"/>
    <w:rsid w:val="009229BA"/>
    <w:rsid w:val="00925A84"/>
    <w:rsid w:val="00930F70"/>
    <w:rsid w:val="00932708"/>
    <w:rsid w:val="00936CF3"/>
    <w:rsid w:val="00950AA7"/>
    <w:rsid w:val="00954243"/>
    <w:rsid w:val="009605BA"/>
    <w:rsid w:val="00961A23"/>
    <w:rsid w:val="009665C9"/>
    <w:rsid w:val="009828AD"/>
    <w:rsid w:val="009834B3"/>
    <w:rsid w:val="00992883"/>
    <w:rsid w:val="009A2841"/>
    <w:rsid w:val="009A440F"/>
    <w:rsid w:val="00A0113D"/>
    <w:rsid w:val="00A0343F"/>
    <w:rsid w:val="00A03B4A"/>
    <w:rsid w:val="00A206B8"/>
    <w:rsid w:val="00A23493"/>
    <w:rsid w:val="00A33BD2"/>
    <w:rsid w:val="00A571E8"/>
    <w:rsid w:val="00A5728A"/>
    <w:rsid w:val="00A65B68"/>
    <w:rsid w:val="00A6613D"/>
    <w:rsid w:val="00A705B2"/>
    <w:rsid w:val="00A72418"/>
    <w:rsid w:val="00A7487F"/>
    <w:rsid w:val="00A74F67"/>
    <w:rsid w:val="00A80700"/>
    <w:rsid w:val="00A931BB"/>
    <w:rsid w:val="00A94318"/>
    <w:rsid w:val="00AA11F5"/>
    <w:rsid w:val="00AA59A4"/>
    <w:rsid w:val="00AB115C"/>
    <w:rsid w:val="00AB11D0"/>
    <w:rsid w:val="00AC075B"/>
    <w:rsid w:val="00AC5D11"/>
    <w:rsid w:val="00AD094A"/>
    <w:rsid w:val="00AD1122"/>
    <w:rsid w:val="00AD3D1A"/>
    <w:rsid w:val="00AF25CE"/>
    <w:rsid w:val="00AF6F4D"/>
    <w:rsid w:val="00B062C6"/>
    <w:rsid w:val="00B27F96"/>
    <w:rsid w:val="00B34CBD"/>
    <w:rsid w:val="00B406F1"/>
    <w:rsid w:val="00B41DD5"/>
    <w:rsid w:val="00B74BD9"/>
    <w:rsid w:val="00BA1C6D"/>
    <w:rsid w:val="00BB6502"/>
    <w:rsid w:val="00BE562C"/>
    <w:rsid w:val="00BF2C36"/>
    <w:rsid w:val="00BF4ACC"/>
    <w:rsid w:val="00BF70DA"/>
    <w:rsid w:val="00C07758"/>
    <w:rsid w:val="00C110A2"/>
    <w:rsid w:val="00C156C4"/>
    <w:rsid w:val="00C6329A"/>
    <w:rsid w:val="00C83DD1"/>
    <w:rsid w:val="00C91E00"/>
    <w:rsid w:val="00CF42AB"/>
    <w:rsid w:val="00D0029E"/>
    <w:rsid w:val="00D21C4F"/>
    <w:rsid w:val="00D50E4A"/>
    <w:rsid w:val="00D5118E"/>
    <w:rsid w:val="00D55AAC"/>
    <w:rsid w:val="00D60B8D"/>
    <w:rsid w:val="00D76780"/>
    <w:rsid w:val="00DD2FB1"/>
    <w:rsid w:val="00DE0F76"/>
    <w:rsid w:val="00DE652F"/>
    <w:rsid w:val="00DF258F"/>
    <w:rsid w:val="00E0726F"/>
    <w:rsid w:val="00E21938"/>
    <w:rsid w:val="00E52E40"/>
    <w:rsid w:val="00E66DAB"/>
    <w:rsid w:val="00E90584"/>
    <w:rsid w:val="00E95C38"/>
    <w:rsid w:val="00E964BC"/>
    <w:rsid w:val="00EA6C4C"/>
    <w:rsid w:val="00EE1F92"/>
    <w:rsid w:val="00EE6D08"/>
    <w:rsid w:val="00EE6D8C"/>
    <w:rsid w:val="00EE7D48"/>
    <w:rsid w:val="00F131D8"/>
    <w:rsid w:val="00F25384"/>
    <w:rsid w:val="00F43183"/>
    <w:rsid w:val="00F502A4"/>
    <w:rsid w:val="00F50C9E"/>
    <w:rsid w:val="00F72AE0"/>
    <w:rsid w:val="00F737E1"/>
    <w:rsid w:val="00F92344"/>
    <w:rsid w:val="00F9268A"/>
    <w:rsid w:val="00FB50F9"/>
    <w:rsid w:val="00FB5A47"/>
    <w:rsid w:val="00FD384D"/>
    <w:rsid w:val="00FD415F"/>
    <w:rsid w:val="00FE0D18"/>
    <w:rsid w:val="00FE6D07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D735B4A"/>
  <w15:docId w15:val="{630CA214-9F55-4A84-8327-9538676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D6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25D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l-SI"/>
    </w:rPr>
  </w:style>
  <w:style w:type="character" w:customStyle="1" w:styleId="GlavaZnak">
    <w:name w:val="Glava Znak"/>
    <w:link w:val="Glava"/>
    <w:uiPriority w:val="99"/>
    <w:locked/>
    <w:rsid w:val="00125D62"/>
    <w:rPr>
      <w:rFonts w:cs="Times New Roman"/>
    </w:rPr>
  </w:style>
  <w:style w:type="paragraph" w:styleId="Noga">
    <w:name w:val="footer"/>
    <w:basedOn w:val="Navaden"/>
    <w:link w:val="NogaZnak"/>
    <w:uiPriority w:val="99"/>
    <w:rsid w:val="00125D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l-SI"/>
    </w:rPr>
  </w:style>
  <w:style w:type="character" w:customStyle="1" w:styleId="NogaZnak">
    <w:name w:val="Noga Znak"/>
    <w:link w:val="Noga"/>
    <w:uiPriority w:val="99"/>
    <w:locked/>
    <w:rsid w:val="00125D62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125D62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25D62"/>
    <w:rPr>
      <w:rFonts w:ascii="Tahoma" w:hAnsi="Tahoma" w:cs="Times New Roman"/>
      <w:sz w:val="16"/>
    </w:rPr>
  </w:style>
  <w:style w:type="table" w:styleId="Tabelamrea">
    <w:name w:val="Table Grid"/>
    <w:basedOn w:val="Navadnatabela"/>
    <w:uiPriority w:val="99"/>
    <w:locked/>
    <w:rsid w:val="006B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610E36"/>
    <w:pPr>
      <w:ind w:left="720"/>
      <w:contextualSpacing/>
    </w:pPr>
  </w:style>
  <w:style w:type="character" w:styleId="Pripombasklic">
    <w:name w:val="annotation reference"/>
    <w:uiPriority w:val="99"/>
    <w:semiHidden/>
    <w:rsid w:val="00E964B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964B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E964BC"/>
    <w:rPr>
      <w:rFonts w:cs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E964B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E964BC"/>
    <w:rPr>
      <w:rFonts w:cs="Times New Roman"/>
      <w:b/>
      <w:bCs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2E59B4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locked/>
    <w:rsid w:val="002E59B4"/>
    <w:rPr>
      <w:rFonts w:cs="Times New Roman"/>
      <w:sz w:val="20"/>
      <w:szCs w:val="20"/>
      <w:lang w:eastAsia="en-US"/>
    </w:rPr>
  </w:style>
  <w:style w:type="character" w:styleId="Konnaopomba-sklic">
    <w:name w:val="endnote reference"/>
    <w:uiPriority w:val="99"/>
    <w:semiHidden/>
    <w:rsid w:val="002E59B4"/>
    <w:rPr>
      <w:rFonts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E59B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2E59B4"/>
    <w:rPr>
      <w:rFonts w:cs="Times New Roman"/>
      <w:sz w:val="20"/>
      <w:szCs w:val="20"/>
      <w:lang w:eastAsia="en-US"/>
    </w:rPr>
  </w:style>
  <w:style w:type="character" w:styleId="Sprotnaopomba-sklic">
    <w:name w:val="footnote reference"/>
    <w:uiPriority w:val="99"/>
    <w:semiHidden/>
    <w:rsid w:val="002E59B4"/>
    <w:rPr>
      <w:rFonts w:cs="Times New Roman"/>
      <w:vertAlign w:val="superscript"/>
    </w:rPr>
  </w:style>
  <w:style w:type="character" w:customStyle="1" w:styleId="outputtext">
    <w:name w:val="outputtext"/>
    <w:basedOn w:val="Privzetapisavaodstavka"/>
    <w:rsid w:val="0068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2C11-2515-4014-BF89-BDC01B4A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813</Words>
  <Characters>4535</Characters>
  <Application>Microsoft Office Word</Application>
  <DocSecurity>8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Veronika.Prevodnik@gov.si</dc:creator>
  <cp:lastModifiedBy>FURS</cp:lastModifiedBy>
  <cp:revision>10</cp:revision>
  <cp:lastPrinted>2016-11-03T08:24:00Z</cp:lastPrinted>
  <dcterms:created xsi:type="dcterms:W3CDTF">2021-06-02T13:39:00Z</dcterms:created>
  <dcterms:modified xsi:type="dcterms:W3CDTF">2021-06-21T09:45:00Z</dcterms:modified>
</cp:coreProperties>
</file>