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4" w:rsidRDefault="00A03324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bookmarkStart w:id="0" w:name="_GoBack"/>
      <w:bookmarkEnd w:id="0"/>
    </w:p>
    <w:p w:rsidR="00927A00" w:rsidRPr="0081431A" w:rsidRDefault="00927A00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:rsidR="00927A00" w:rsidRPr="0081431A" w:rsidRDefault="00927A00" w:rsidP="00927A00">
      <w:pPr>
        <w:spacing w:after="0"/>
        <w:rPr>
          <w:rFonts w:asciiTheme="minorHAnsi" w:hAnsiTheme="minorHAnsi" w:cs="Calibri"/>
          <w:bCs/>
          <w:sz w:val="20"/>
          <w:szCs w:val="20"/>
          <w:lang w:eastAsia="sl-SI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1"/>
        <w:gridCol w:w="7461"/>
      </w:tblGrid>
      <w:tr w:rsidR="00CA1884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81431A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C970E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461" w:type="dxa"/>
            <w:vAlign w:val="center"/>
          </w:tcPr>
          <w:p w:rsidR="00C03890" w:rsidRPr="0081431A" w:rsidRDefault="001E3DB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E3DB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naziv pravne osebe ali ime samo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stojnega podjetnika posameznika</w:t>
            </w:r>
            <w:r w:rsidR="00C970E0" w:rsidRPr="00C970E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lektronski naslov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elektronski naslov upravičenca (podatek ni obvezen)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B929CF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el. številka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telefonska številka upravičenca (podatek ni obvezen)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16577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popoln naslov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EB5627" w:rsidRPr="0081431A" w:rsidTr="005F662C">
        <w:trPr>
          <w:trHeight w:val="298"/>
        </w:trPr>
        <w:tc>
          <w:tcPr>
            <w:tcW w:w="3281" w:type="dxa"/>
            <w:vAlign w:val="center"/>
          </w:tcPr>
          <w:p w:rsidR="00EB5627" w:rsidRDefault="00EB562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Poštna številka, kraj</w:t>
            </w:r>
          </w:p>
        </w:tc>
        <w:tc>
          <w:tcPr>
            <w:tcW w:w="7461" w:type="dxa"/>
            <w:vAlign w:val="center"/>
          </w:tcPr>
          <w:p w:rsidR="00EB5627" w:rsidRPr="00246773" w:rsidRDefault="00EB5627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poštna številka in kraj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številka transakcijskega računa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 katerega se bo izvedlo vračilo trošarine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4677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BIC/ SWIFT koda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BIC/SWIFT koda banke ali hranilnice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pri kateri je odprt transakcijski račun za nakazilo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Pravica d</w:t>
            </w:r>
            <w:r w:rsidR="002A7A3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 vračila se uveljavlja za</w:t>
            </w:r>
          </w:p>
        </w:tc>
        <w:tc>
          <w:tcPr>
            <w:tcW w:w="7461" w:type="dxa"/>
            <w:vAlign w:val="center"/>
          </w:tcPr>
          <w:p w:rsidR="00C03890" w:rsidRPr="0081431A" w:rsidRDefault="00E01C38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E01C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Označi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se davčno obdobje (mesec, trimesečje ali leto), vpiše se mesec/meseci v davčnem obdobju in vpiše se leto davčnega obdobja.</w:t>
            </w:r>
          </w:p>
        </w:tc>
      </w:tr>
      <w:tr w:rsidR="009C0BB5" w:rsidRPr="0081431A" w:rsidTr="005F662C">
        <w:trPr>
          <w:trHeight w:val="298"/>
        </w:trPr>
        <w:tc>
          <w:tcPr>
            <w:tcW w:w="3281" w:type="dxa"/>
            <w:vAlign w:val="center"/>
          </w:tcPr>
          <w:p w:rsidR="009C0BB5" w:rsidRPr="002D3C43" w:rsidRDefault="009C0BB5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Plinsko olje je bilo porabljeno za komercialni</w:t>
            </w:r>
            <w:r w:rsidR="009D608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prevoz</w:t>
            </w:r>
          </w:p>
        </w:tc>
        <w:tc>
          <w:tcPr>
            <w:tcW w:w="7461" w:type="dxa"/>
            <w:vAlign w:val="center"/>
          </w:tcPr>
          <w:p w:rsidR="009C0BB5" w:rsidRPr="00E01C38" w:rsidRDefault="009C0BB5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Označi se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namen porabe plinskega olja za pogonski namen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(prevoz blaga, prevoz potnikov)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A45DE9" w:rsidP="000B160A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Količina porabljenega plinskega olja</w:t>
            </w:r>
            <w:r w:rsidR="0051783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za katerega se zahteva vračilo trošarine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(v litrih)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FB50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skupna 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količina porabljenega plinskega olja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za katero se zahteva vračilo, ki jo je mogoče dokazati z računi.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0419FC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Število računov o </w:t>
            </w:r>
            <w:r w:rsidR="00A45DE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nabavi plinskega olja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na podlag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 katerih se uveljavlja vračilo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skupno 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šte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vilo računov za nabavo plinskega olja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na podlagi katerih se uveljavlja vračilo.</w:t>
            </w:r>
          </w:p>
        </w:tc>
      </w:tr>
      <w:tr w:rsidR="0051783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51783E" w:rsidRDefault="00A45DE9" w:rsidP="0074719E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KOLIČINA PORABLJENEGA PLINSKEGA OLJA</w:t>
            </w:r>
            <w:r w:rsidR="0051783E" w:rsidRPr="0051783E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PO </w:t>
            </w:r>
            <w:r w:rsidR="000419FC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MESECIH (ZA PREVOZ BLAGA ALI POTNIKOV – v litrih)</w:t>
            </w:r>
          </w:p>
        </w:tc>
      </w:tr>
      <w:tr w:rsidR="0051783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51783E" w:rsidRPr="0051783E" w:rsidRDefault="0051783E" w:rsidP="00D950EA">
            <w:pPr>
              <w:spacing w:after="0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 w:rsidRPr="0051783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Glede na 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ustrezno porabo (prevoz blaga, prevoz potnikov) ter </w:t>
            </w:r>
            <w:r w:rsidR="003F55D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označeno koledarsko obdobje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 w:rsidRPr="0051783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se za posamezni mesec vp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iše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količina porabljenega plinskega olja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, za katero se zahteva vračilo in </w:t>
            </w:r>
            <w:r w:rsidRPr="0051783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ki jo je mogoče dokazati z raču</w:t>
            </w:r>
            <w:r w:rsid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ni.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Količina porabljenega plinskega olja</w:t>
            </w:r>
            <w:r w:rsidRPr="0051783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 posameznem mesecu se vpisuje tudi v primeru zahtevka za koledarsko trimesečje ali koledarsko leto.</w:t>
            </w:r>
          </w:p>
        </w:tc>
      </w:tr>
      <w:tr w:rsidR="0074719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74719E" w:rsidRPr="0074719E" w:rsidRDefault="00A45DE9" w:rsidP="0074719E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KOLIČINA PORABLJENEGA PLINSKEGA OLJA</w:t>
            </w:r>
            <w:r w:rsidR="00594620" w:rsidRPr="00594620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PO MOTORNIH VOZILIH</w:t>
            </w:r>
            <w:r w:rsidR="000419FC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(ZA PREVOZ BLAGA ALI POTNIKOV)</w:t>
            </w:r>
          </w:p>
        </w:tc>
      </w:tr>
      <w:tr w:rsidR="00FB503C" w:rsidRPr="0081431A" w:rsidTr="009B17F7">
        <w:trPr>
          <w:trHeight w:val="298"/>
        </w:trPr>
        <w:tc>
          <w:tcPr>
            <w:tcW w:w="10742" w:type="dxa"/>
            <w:gridSpan w:val="2"/>
            <w:vAlign w:val="center"/>
          </w:tcPr>
          <w:p w:rsidR="00FB503C" w:rsidRPr="0081431A" w:rsidRDefault="000419FC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0419F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Glede na ustrezno porabo (prevoz blaga, prevoz potnikov)</w:t>
            </w:r>
            <w:r w:rsidR="000C679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se vpišejo </w:t>
            </w:r>
            <w:r w:rsidR="00FB503C" w:rsidRPr="00FB50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r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egistrske oznake motornih vozil,</w:t>
            </w:r>
            <w:r w:rsidR="00FB503C" w:rsidRPr="00FB50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za pogon katerih je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bil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o plinsko olje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porabljen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ter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količina porabljenega plinskega olja </w:t>
            </w:r>
            <w:r w:rsidR="00FB503C" w:rsidRPr="00FB50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za posamezno motorno vozilo.</w:t>
            </w:r>
          </w:p>
        </w:tc>
      </w:tr>
      <w:tr w:rsidR="009B2A73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9B2A73" w:rsidRPr="00FB3F3F" w:rsidRDefault="00A45DE9" w:rsidP="00316AD8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PRODAJELEC PLINSKEGA OLJA</w:t>
            </w:r>
            <w:r w:rsidR="003F55D0" w:rsidRPr="003F55D0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="00316AD8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(porabljenih skupaj za prevoz blaga in potnikov)</w:t>
            </w:r>
          </w:p>
        </w:tc>
      </w:tr>
      <w:tr w:rsidR="00D94448" w:rsidRPr="0081431A" w:rsidTr="0040683A">
        <w:trPr>
          <w:trHeight w:val="298"/>
        </w:trPr>
        <w:tc>
          <w:tcPr>
            <w:tcW w:w="10742" w:type="dxa"/>
            <w:gridSpan w:val="2"/>
            <w:vAlign w:val="center"/>
          </w:tcPr>
          <w:p w:rsidR="00D94448" w:rsidRPr="0081431A" w:rsidRDefault="007831F0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7831F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a in naziv prodajalca plinskega olja</w:t>
            </w:r>
            <w:r w:rsidRPr="007831F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ter vrsta in</w:t>
            </w:r>
            <w:r w:rsidR="00A45DE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količina porabljenega plinskega olja</w:t>
            </w:r>
            <w:r w:rsidRPr="007831F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 litrih, nabavljenega pri tem prodajalcu.</w:t>
            </w:r>
          </w:p>
        </w:tc>
      </w:tr>
      <w:tr w:rsidR="00CF01A5" w:rsidRPr="0081431A" w:rsidTr="0040683A">
        <w:trPr>
          <w:trHeight w:val="298"/>
        </w:trPr>
        <w:tc>
          <w:tcPr>
            <w:tcW w:w="10742" w:type="dxa"/>
            <w:gridSpan w:val="2"/>
            <w:vAlign w:val="center"/>
          </w:tcPr>
          <w:p w:rsidR="00CF01A5" w:rsidRPr="008F5AD6" w:rsidRDefault="00CF01A5" w:rsidP="00CF01A5">
            <w:pPr>
              <w:spacing w:after="0"/>
              <w:jc w:val="center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F01A5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DOKAZILA</w:t>
            </w:r>
          </w:p>
        </w:tc>
      </w:tr>
      <w:tr w:rsidR="00CF01A5" w:rsidRPr="0081431A" w:rsidTr="0040683A">
        <w:trPr>
          <w:trHeight w:val="298"/>
        </w:trPr>
        <w:tc>
          <w:tcPr>
            <w:tcW w:w="10742" w:type="dxa"/>
            <w:gridSpan w:val="2"/>
            <w:vAlign w:val="center"/>
          </w:tcPr>
          <w:p w:rsidR="001B1F2E" w:rsidRPr="001B1F2E" w:rsidRDefault="000C6799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0C679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Vpišejo se vrste in morebitne oznake prilož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enih dokazil.</w:t>
            </w:r>
          </w:p>
        </w:tc>
      </w:tr>
    </w:tbl>
    <w:p w:rsidR="00927A00" w:rsidRPr="0081431A" w:rsidRDefault="00927A00" w:rsidP="00927A00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5A4199" w:rsidRDefault="00927A00" w:rsidP="00927A00">
      <w:pPr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p w:rsidR="001D12C8" w:rsidRDefault="001D12C8"/>
    <w:sectPr w:rsidR="001D12C8" w:rsidSect="00737ECF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3E" w:rsidRDefault="00A83E3E">
      <w:pPr>
        <w:spacing w:after="0" w:line="240" w:lineRule="auto"/>
      </w:pPr>
      <w:r>
        <w:separator/>
      </w:r>
    </w:p>
  </w:endnote>
  <w:endnote w:type="continuationSeparator" w:id="0">
    <w:p w:rsidR="00A83E3E" w:rsidRDefault="00A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3E" w:rsidRDefault="00A83E3E">
      <w:pPr>
        <w:spacing w:after="0" w:line="240" w:lineRule="auto"/>
      </w:pPr>
      <w:r>
        <w:separator/>
      </w:r>
    </w:p>
  </w:footnote>
  <w:footnote w:type="continuationSeparator" w:id="0">
    <w:p w:rsidR="00A83E3E" w:rsidRDefault="00A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F" w:rsidRDefault="00927A00" w:rsidP="00C44E8F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>TRO</w:t>
    </w:r>
    <w:r w:rsidR="00BF2364">
      <w:rPr>
        <w:sz w:val="20"/>
        <w:szCs w:val="20"/>
      </w:rPr>
      <w:t>-K</w:t>
    </w:r>
    <w:r w:rsidR="00A03324">
      <w:rPr>
        <w:sz w:val="20"/>
        <w:szCs w:val="20"/>
      </w:rPr>
      <w:t xml:space="preserve"> Navodilo za izpolnjevanje obrazca</w:t>
    </w:r>
    <w:r>
      <w:tab/>
    </w:r>
    <w:r>
      <w:tab/>
    </w:r>
    <w:r>
      <w:tab/>
      <w:t xml:space="preserve">         </w:t>
    </w:r>
    <w:r w:rsidR="00890843" w:rsidRPr="00890843">
      <w:rPr>
        <w:noProof/>
        <w:lang w:eastAsia="sl-SI"/>
      </w:rPr>
      <w:drawing>
        <wp:inline distT="0" distB="0" distL="0" distR="0" wp14:anchorId="586AAE61" wp14:editId="0FB096D5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E8F" w:rsidRPr="00890843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0"/>
    <w:rsid w:val="000419FC"/>
    <w:rsid w:val="000B160A"/>
    <w:rsid w:val="000C6799"/>
    <w:rsid w:val="00165777"/>
    <w:rsid w:val="0017081C"/>
    <w:rsid w:val="00196F57"/>
    <w:rsid w:val="001B1F2E"/>
    <w:rsid w:val="001D12C8"/>
    <w:rsid w:val="001E3DB3"/>
    <w:rsid w:val="00212087"/>
    <w:rsid w:val="00246773"/>
    <w:rsid w:val="002A7A30"/>
    <w:rsid w:val="002C537A"/>
    <w:rsid w:val="002D3C43"/>
    <w:rsid w:val="00316AD8"/>
    <w:rsid w:val="00321501"/>
    <w:rsid w:val="003F55D0"/>
    <w:rsid w:val="0051783E"/>
    <w:rsid w:val="005472E1"/>
    <w:rsid w:val="00594620"/>
    <w:rsid w:val="005F662C"/>
    <w:rsid w:val="006E1529"/>
    <w:rsid w:val="00744DFB"/>
    <w:rsid w:val="0074719E"/>
    <w:rsid w:val="007831F0"/>
    <w:rsid w:val="007C612A"/>
    <w:rsid w:val="00825F55"/>
    <w:rsid w:val="00890843"/>
    <w:rsid w:val="008F5AD6"/>
    <w:rsid w:val="00927A00"/>
    <w:rsid w:val="0098117C"/>
    <w:rsid w:val="009B2A73"/>
    <w:rsid w:val="009C0BB5"/>
    <w:rsid w:val="009D6080"/>
    <w:rsid w:val="00A03324"/>
    <w:rsid w:val="00A45DE9"/>
    <w:rsid w:val="00A83E3E"/>
    <w:rsid w:val="00AE5678"/>
    <w:rsid w:val="00B929CF"/>
    <w:rsid w:val="00BF2364"/>
    <w:rsid w:val="00C03890"/>
    <w:rsid w:val="00C5672E"/>
    <w:rsid w:val="00C970E0"/>
    <w:rsid w:val="00CA1884"/>
    <w:rsid w:val="00CF01A5"/>
    <w:rsid w:val="00D42F43"/>
    <w:rsid w:val="00D94448"/>
    <w:rsid w:val="00D950EA"/>
    <w:rsid w:val="00DF1EF6"/>
    <w:rsid w:val="00E01C38"/>
    <w:rsid w:val="00EB5627"/>
    <w:rsid w:val="00ED5777"/>
    <w:rsid w:val="00F17FF6"/>
    <w:rsid w:val="00FB3F3F"/>
    <w:rsid w:val="00FB503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FECAE1-2C13-4193-B1AF-F831A866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Aleksander Štorman</cp:lastModifiedBy>
  <cp:revision>2</cp:revision>
  <cp:lastPrinted>2017-01-19T08:38:00Z</cp:lastPrinted>
  <dcterms:created xsi:type="dcterms:W3CDTF">2019-08-08T04:51:00Z</dcterms:created>
  <dcterms:modified xsi:type="dcterms:W3CDTF">2019-08-08T04:51:00Z</dcterms:modified>
</cp:coreProperties>
</file>