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AA470" w14:textId="77777777" w:rsidR="007E5ED0" w:rsidRDefault="00D50F59" w:rsidP="007E5ED0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</w:pPr>
      <w:bookmarkStart w:id="0" w:name="_GoBack"/>
      <w:bookmarkEnd w:id="0"/>
      <w:r w:rsidRPr="00D50F59"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  <w:t>Navodilo za izpolnjevanje obrazca</w:t>
      </w:r>
    </w:p>
    <w:p w14:paraId="23C340F2" w14:textId="77777777" w:rsidR="007E5ED0" w:rsidRPr="007E5ED0" w:rsidRDefault="007E5ED0" w:rsidP="007E5ED0">
      <w:pPr>
        <w:spacing w:after="0" w:line="27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sl-SI"/>
        </w:rPr>
      </w:pPr>
    </w:p>
    <w:tbl>
      <w:tblPr>
        <w:tblW w:w="107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62"/>
        <w:gridCol w:w="8180"/>
      </w:tblGrid>
      <w:tr w:rsidR="007E5ED0" w:rsidRPr="007E5ED0" w14:paraId="1B4B506D" w14:textId="77777777" w:rsidTr="007E5ED0">
        <w:trPr>
          <w:trHeight w:val="298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F38BE" w14:textId="77777777" w:rsidR="007E5ED0" w:rsidRPr="007E5ED0" w:rsidRDefault="007E5ED0" w:rsidP="007E5ED0">
            <w:pPr>
              <w:spacing w:after="0" w:line="276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  <w:t>Zahtevek se vlaga za odpust plačila trošarine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086AC" w14:textId="77777777" w:rsidR="007E5ED0" w:rsidRPr="007E5ED0" w:rsidRDefault="007E5ED0" w:rsidP="007E5ED0">
            <w:pPr>
              <w:spacing w:after="0" w:line="276" w:lineRule="auto"/>
              <w:jc w:val="both"/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Označi se status vložnika zahteve. </w:t>
            </w:r>
          </w:p>
        </w:tc>
      </w:tr>
      <w:tr w:rsidR="007E5ED0" w:rsidRPr="007E5ED0" w14:paraId="029860E7" w14:textId="77777777" w:rsidTr="007E5ED0">
        <w:trPr>
          <w:trHeight w:val="298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91434" w14:textId="77777777" w:rsidR="007E5ED0" w:rsidRPr="007E5ED0" w:rsidRDefault="007E5ED0" w:rsidP="007E5ED0">
            <w:pPr>
              <w:spacing w:after="0" w:line="276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  <w:t>Davčno obdobje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8E7FA" w14:textId="77777777" w:rsidR="007E5ED0" w:rsidRPr="007E5ED0" w:rsidRDefault="007E5ED0" w:rsidP="003F7394">
            <w:pPr>
              <w:spacing w:after="0" w:line="276" w:lineRule="auto"/>
              <w:jc w:val="both"/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Poslovno leto kot davčno obdobje se uporabi v primeru uveljavljanja odpusta plačila trošarine v režimu odloga za </w:t>
            </w:r>
            <w:r w:rsidR="00554076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primanjkljaj iz naslova skladiščenja</w:t>
            </w: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.</w:t>
            </w:r>
            <w:r w:rsidR="003F7394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7E5ED0" w:rsidRPr="007E5ED0" w14:paraId="513539AE" w14:textId="77777777" w:rsidTr="007E5ED0">
        <w:trPr>
          <w:trHeight w:val="298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A33CB" w14:textId="77777777" w:rsidR="007E5ED0" w:rsidRPr="007E5ED0" w:rsidRDefault="007E5ED0" w:rsidP="007E5ED0">
            <w:pPr>
              <w:spacing w:after="0" w:line="276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  <w:t>1. Identifikacijski podatki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1BD3B" w14:textId="77777777" w:rsidR="007E5ED0" w:rsidRPr="007E5ED0" w:rsidRDefault="007E5ED0" w:rsidP="007E5ED0">
            <w:pPr>
              <w:spacing w:after="0" w:line="276" w:lineRule="auto"/>
              <w:jc w:val="both"/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Vpišejo se ustrezni podatki.</w:t>
            </w:r>
          </w:p>
        </w:tc>
      </w:tr>
      <w:tr w:rsidR="007E5ED0" w:rsidRPr="007E5ED0" w14:paraId="2FC466C5" w14:textId="77777777" w:rsidTr="007E5ED0">
        <w:trPr>
          <w:trHeight w:val="298"/>
          <w:jc w:val="center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2995D" w14:textId="77777777" w:rsidR="007E5ED0" w:rsidRPr="007E5ED0" w:rsidRDefault="007E5ED0" w:rsidP="007E5ED0">
            <w:pPr>
              <w:spacing w:after="0" w:line="276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  <w:t>2. Navedba razlogov za odpust plačila trošarine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22D65" w14:textId="77777777" w:rsidR="007E5ED0" w:rsidRPr="007E5ED0" w:rsidRDefault="007E5ED0" w:rsidP="007E5ED0">
            <w:pPr>
              <w:spacing w:after="0" w:line="276" w:lineRule="auto"/>
              <w:jc w:val="both"/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Opišejo se razlogi za odpust plačila, ki jih lahko uveljavlja vložnik glede na status.</w:t>
            </w:r>
          </w:p>
        </w:tc>
      </w:tr>
      <w:tr w:rsidR="007E5ED0" w:rsidRPr="007E5ED0" w14:paraId="6E2166AC" w14:textId="77777777" w:rsidTr="007E5ED0">
        <w:trPr>
          <w:trHeight w:val="268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74D57" w14:textId="77777777" w:rsidR="007E5ED0" w:rsidRPr="007E5ED0" w:rsidRDefault="007E5ED0" w:rsidP="007E5ED0">
            <w:pPr>
              <w:spacing w:after="0" w:line="276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  <w:t>3. Trošarinski izdelki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4EB7CE" w14:textId="77777777" w:rsidR="007E5ED0" w:rsidRPr="007E5ED0" w:rsidRDefault="007E5ED0" w:rsidP="007E5ED0">
            <w:pPr>
              <w:spacing w:after="0" w:line="276" w:lineRule="auto"/>
              <w:jc w:val="both"/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 stolpec (1) se označi trošarinske izdelke, ki so predmet odpusta.</w:t>
            </w:r>
          </w:p>
          <w:p w14:paraId="3BEE3254" w14:textId="77777777" w:rsidR="007E5ED0" w:rsidRPr="007E5ED0" w:rsidRDefault="007E5ED0" w:rsidP="007E5ED0">
            <w:pPr>
              <w:spacing w:after="0" w:line="276" w:lineRule="auto"/>
              <w:jc w:val="both"/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 stolpec (2) se vpiše količina trošarinskih izdelkov, za katere se uveljavlja odpust plačila trošarine. </w:t>
            </w:r>
            <w:r w:rsidR="004B6E04" w:rsidRPr="004B6E04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Vse količine trošarinskih izdelkov se vpišejo na tri decimalna, razen za pivo na štiri decimalna mesta </w:t>
            </w: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Količina za etanol z vsebnostjo 80 vol. % ali več (nedenaturiran), denaturirani etanoli, s katero koli vsebnostjo etanola in drug etilni alkohol se vpiše tako, da se preračuna na 100% prostorninske vsebnosti alkohola na en hektoliter etilnega alkohola. V primeru, da imamo 30 litrov 20% etilnega alkohola, se količina izračuna na sledeči način: (30l/100)*0,2=0,06</w:t>
            </w:r>
            <w:r w:rsidR="0052366D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0 </w:t>
            </w: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hl alk.</w:t>
            </w:r>
          </w:p>
          <w:p w14:paraId="3C0D87D9" w14:textId="77777777" w:rsidR="007E5ED0" w:rsidRPr="007E5ED0" w:rsidRDefault="007E5ED0" w:rsidP="007E5ED0">
            <w:pPr>
              <w:spacing w:after="0" w:line="276" w:lineRule="auto"/>
              <w:jc w:val="both"/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V stolpec (3) se vpiše zaporedna številka spodaj navedene pravne podlage za odpust plačila trošarine glede na status vložnika zahtevka.</w:t>
            </w:r>
          </w:p>
        </w:tc>
      </w:tr>
      <w:tr w:rsidR="007E5ED0" w:rsidRPr="007E5ED0" w14:paraId="37DE9689" w14:textId="77777777" w:rsidTr="007E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7"/>
          <w:jc w:val="center"/>
        </w:trPr>
        <w:tc>
          <w:tcPr>
            <w:tcW w:w="2562" w:type="dxa"/>
            <w:tcBorders>
              <w:top w:val="single" w:sz="2" w:space="0" w:color="auto"/>
            </w:tcBorders>
            <w:noWrap/>
            <w:vAlign w:val="center"/>
          </w:tcPr>
          <w:p w14:paraId="126CC255" w14:textId="77777777" w:rsidR="007E5ED0" w:rsidRPr="007E5ED0" w:rsidRDefault="007E5ED0" w:rsidP="00DA6108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>Imetnik trošarinskega</w:t>
            </w:r>
            <w:r w:rsidR="004D1B15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 </w:t>
            </w:r>
            <w:r w:rsidR="004D1B15"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>skladišča</w:t>
            </w:r>
            <w:r w:rsidR="004D1B15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 in oproščeni </w:t>
            </w:r>
            <w:r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 </w:t>
            </w:r>
            <w:r w:rsidR="004D1B15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uporabnik </w:t>
            </w:r>
            <w:r w:rsidR="00DA6108">
              <w:rPr>
                <w:rFonts w:eastAsia="Calibri" w:cs="Calibri"/>
                <w:b/>
                <w:sz w:val="20"/>
                <w:szCs w:val="20"/>
                <w:lang w:eastAsia="sl-SI"/>
              </w:rPr>
              <w:t>z zahtevkom</w:t>
            </w:r>
            <w:r w:rsidR="00DA6108"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 </w:t>
            </w:r>
            <w:r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>uveljavlja</w:t>
            </w:r>
            <w:r w:rsidR="004D1B15">
              <w:rPr>
                <w:rFonts w:eastAsia="Calibri" w:cs="Calibri"/>
                <w:b/>
                <w:sz w:val="20"/>
                <w:szCs w:val="20"/>
                <w:lang w:eastAsia="sl-SI"/>
              </w:rPr>
              <w:t>ta</w:t>
            </w:r>
            <w:r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 odpust plačila</w:t>
            </w:r>
            <w:r w:rsidR="00DA6108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 trošarine</w:t>
            </w:r>
            <w:r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 za trošarinske izdelke za katere velja, da:</w:t>
            </w:r>
          </w:p>
        </w:tc>
        <w:tc>
          <w:tcPr>
            <w:tcW w:w="8180" w:type="dxa"/>
            <w:tcBorders>
              <w:top w:val="single" w:sz="2" w:space="0" w:color="auto"/>
            </w:tcBorders>
            <w:vAlign w:val="center"/>
          </w:tcPr>
          <w:p w14:paraId="7167F571" w14:textId="3AF1E57D" w:rsidR="007E5ED0" w:rsidRPr="007E5ED0" w:rsidRDefault="007E5ED0" w:rsidP="007E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E5ED0">
              <w:rPr>
                <w:rFonts w:eastAsia="Times New Roman" w:cs="Arial"/>
                <w:sz w:val="20"/>
                <w:szCs w:val="20"/>
                <w:lang w:eastAsia="sl-SI"/>
              </w:rPr>
              <w:t xml:space="preserve">je bil zanje ugotovljen primanjkljaj, ki je neposredno povezan s procesom skladiščenja ali prevoza izdelkov </w:t>
            </w:r>
            <w:r w:rsidRPr="007E5ED0">
              <w:rPr>
                <w:rFonts w:eastAsia="Times New Roman" w:cs="Arial"/>
                <w:b/>
                <w:sz w:val="20"/>
                <w:szCs w:val="20"/>
                <w:lang w:eastAsia="sl-SI"/>
              </w:rPr>
              <w:t>(1. tč., 1. odstavka 18. člena ZTro-1)</w:t>
            </w:r>
            <w:r w:rsidRPr="007E5ED0">
              <w:rPr>
                <w:rFonts w:eastAsia="Times New Roman" w:cs="Arial"/>
                <w:sz w:val="20"/>
                <w:szCs w:val="20"/>
                <w:lang w:eastAsia="sl-SI"/>
              </w:rPr>
              <w:t>,</w:t>
            </w:r>
          </w:p>
          <w:p w14:paraId="3C3FE397" w14:textId="6CFDB46A" w:rsidR="007E5ED0" w:rsidRPr="007E5ED0" w:rsidRDefault="007E5ED0" w:rsidP="007E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E5ED0">
              <w:rPr>
                <w:rFonts w:eastAsia="Times New Roman" w:cs="Arial"/>
                <w:sz w:val="20"/>
                <w:szCs w:val="20"/>
                <w:lang w:eastAsia="sl-SI"/>
              </w:rPr>
              <w:t xml:space="preserve">so bili uporabljeni kot vzorci za analize v zvezi s testiranjem proizvodnje oziroma za znanstvene namene </w:t>
            </w:r>
            <w:r w:rsidRPr="007E5ED0">
              <w:rPr>
                <w:rFonts w:eastAsia="Times New Roman" w:cs="Arial"/>
                <w:b/>
                <w:sz w:val="20"/>
                <w:szCs w:val="20"/>
                <w:lang w:eastAsia="sl-SI"/>
              </w:rPr>
              <w:t>(3. tč., 1. odstavka 18. člena ZTro-1),</w:t>
            </w:r>
          </w:p>
          <w:p w14:paraId="7A0AF54A" w14:textId="68BC0325" w:rsidR="007E5ED0" w:rsidRPr="007E5ED0" w:rsidRDefault="007E5ED0" w:rsidP="007E5ED0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E5ED0">
              <w:rPr>
                <w:rFonts w:eastAsia="Times New Roman" w:cs="Arial"/>
                <w:sz w:val="20"/>
                <w:szCs w:val="20"/>
                <w:lang w:eastAsia="sl-SI"/>
              </w:rPr>
              <w:t xml:space="preserve">so bili predloženi in uporabljeni za namene kontrole kakovosti </w:t>
            </w:r>
            <w:r w:rsidRPr="007E5ED0">
              <w:rPr>
                <w:rFonts w:eastAsia="Times New Roman" w:cs="Arial"/>
                <w:b/>
                <w:sz w:val="20"/>
                <w:szCs w:val="20"/>
                <w:lang w:eastAsia="sl-SI"/>
              </w:rPr>
              <w:t>(4. tč., 1. odstavka 18. člena ZTro-1)</w:t>
            </w:r>
            <w:r w:rsidR="007871FE">
              <w:rPr>
                <w:rFonts w:eastAsia="Times New Roman" w:cs="Arial"/>
                <w:sz w:val="20"/>
                <w:szCs w:val="20"/>
                <w:lang w:eastAsia="sl-SI"/>
              </w:rPr>
              <w:t>.</w:t>
            </w:r>
          </w:p>
          <w:p w14:paraId="11710522" w14:textId="77777777" w:rsidR="007E5ED0" w:rsidRPr="007E5ED0" w:rsidRDefault="007E5ED0" w:rsidP="00650E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70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7E5ED0" w:rsidRPr="007E5ED0" w14:paraId="05E7D8A8" w14:textId="77777777" w:rsidTr="007E5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2562" w:type="dxa"/>
            <w:tcBorders>
              <w:top w:val="single" w:sz="2" w:space="0" w:color="auto"/>
            </w:tcBorders>
            <w:noWrap/>
            <w:vAlign w:val="center"/>
          </w:tcPr>
          <w:p w14:paraId="7141CD8C" w14:textId="77777777" w:rsidR="007E5ED0" w:rsidRPr="007E5ED0" w:rsidRDefault="007E5ED0" w:rsidP="00DA6108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Pooblaščeni uvoznik  </w:t>
            </w:r>
            <w:r w:rsidR="00DA6108">
              <w:rPr>
                <w:rFonts w:eastAsia="Calibri" w:cs="Calibri"/>
                <w:b/>
                <w:sz w:val="20"/>
                <w:szCs w:val="20"/>
                <w:lang w:eastAsia="sl-SI"/>
              </w:rPr>
              <w:t>z zahtevkom</w:t>
            </w:r>
            <w:r w:rsidR="00DA6108"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 </w:t>
            </w:r>
            <w:r w:rsidRPr="007E5ED0">
              <w:rPr>
                <w:rFonts w:eastAsia="Calibri" w:cs="Calibri"/>
                <w:b/>
                <w:sz w:val="20"/>
                <w:szCs w:val="20"/>
                <w:lang w:eastAsia="sl-SI"/>
              </w:rPr>
              <w:t xml:space="preserve">uveljavlja odpust plačila za trošarinske izdelke  </w:t>
            </w:r>
          </w:p>
        </w:tc>
        <w:tc>
          <w:tcPr>
            <w:tcW w:w="8180" w:type="dxa"/>
            <w:tcBorders>
              <w:top w:val="single" w:sz="2" w:space="0" w:color="auto"/>
            </w:tcBorders>
            <w:vAlign w:val="center"/>
          </w:tcPr>
          <w:p w14:paraId="75BD9AC8" w14:textId="74BEAF20" w:rsidR="007E5ED0" w:rsidRPr="007E5ED0" w:rsidRDefault="007E5ED0" w:rsidP="00F763B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E5ED0">
              <w:rPr>
                <w:rFonts w:eastAsia="Times New Roman" w:cs="Arial"/>
                <w:sz w:val="20"/>
                <w:szCs w:val="20"/>
                <w:lang w:eastAsia="sl-SI"/>
              </w:rPr>
              <w:t xml:space="preserve">za katere je ugotovljen primanjkljaj, ki je neposredno povezan s procesom prevoza </w:t>
            </w:r>
            <w:r w:rsidRPr="007E5ED0">
              <w:rPr>
                <w:rFonts w:eastAsia="Times New Roman" w:cs="Arial"/>
                <w:b/>
                <w:sz w:val="20"/>
                <w:szCs w:val="20"/>
                <w:lang w:eastAsia="sl-SI"/>
              </w:rPr>
              <w:t>(2. odstavek 18. člena ZTro-1</w:t>
            </w:r>
            <w:r w:rsidRPr="007E5ED0">
              <w:rPr>
                <w:rFonts w:eastAsia="Times New Roman" w:cs="Arial"/>
                <w:sz w:val="20"/>
                <w:szCs w:val="20"/>
                <w:lang w:eastAsia="sl-SI"/>
              </w:rPr>
              <w:t>).</w:t>
            </w:r>
          </w:p>
        </w:tc>
      </w:tr>
      <w:tr w:rsidR="007E5ED0" w:rsidRPr="007E5ED0" w14:paraId="6514909F" w14:textId="77777777" w:rsidTr="007E5ED0">
        <w:trPr>
          <w:trHeight w:val="268"/>
          <w:jc w:val="center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F4B06" w14:textId="77777777" w:rsidR="007E5ED0" w:rsidRPr="007E5ED0" w:rsidRDefault="007E5ED0" w:rsidP="007E5ED0">
            <w:pPr>
              <w:spacing w:after="0" w:line="276" w:lineRule="auto"/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/>
                <w:bCs/>
                <w:color w:val="000000"/>
                <w:sz w:val="20"/>
                <w:szCs w:val="20"/>
                <w:lang w:eastAsia="sl-SI"/>
              </w:rPr>
              <w:t>4. Priloge</w:t>
            </w:r>
          </w:p>
        </w:tc>
        <w:tc>
          <w:tcPr>
            <w:tcW w:w="8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DDC2E" w14:textId="77777777" w:rsidR="007E5ED0" w:rsidRPr="007E5ED0" w:rsidRDefault="007E5ED0" w:rsidP="0023124D">
            <w:pPr>
              <w:spacing w:after="0" w:line="276" w:lineRule="auto"/>
              <w:jc w:val="both"/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Navedejo se ustrezna dokazila glede na </w:t>
            </w:r>
            <w:r w:rsidR="0023124D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razlog za </w:t>
            </w: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uveljavlja</w:t>
            </w:r>
            <w:r w:rsidR="0023124D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nje </w:t>
            </w: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odpust</w:t>
            </w:r>
            <w:r w:rsidR="0023124D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>a</w:t>
            </w:r>
            <w:r w:rsidRPr="007E5ED0">
              <w:rPr>
                <w:rFonts w:eastAsia="Calibri" w:cs="Calibri"/>
                <w:bCs/>
                <w:i/>
                <w:iCs/>
                <w:color w:val="000000"/>
                <w:sz w:val="20"/>
                <w:szCs w:val="20"/>
                <w:lang w:eastAsia="sl-SI"/>
              </w:rPr>
              <w:t xml:space="preserve"> plačila trošarine.</w:t>
            </w:r>
          </w:p>
        </w:tc>
      </w:tr>
    </w:tbl>
    <w:p w14:paraId="60FD21A4" w14:textId="77777777" w:rsidR="007E5ED0" w:rsidRPr="007E5ED0" w:rsidRDefault="007E5ED0" w:rsidP="00CA653E">
      <w:pPr>
        <w:spacing w:after="200" w:line="276" w:lineRule="auto"/>
        <w:rPr>
          <w:rFonts w:eastAsia="Calibri" w:cs="Calibri"/>
          <w:b/>
          <w:bCs/>
          <w:color w:val="000000"/>
          <w:sz w:val="20"/>
          <w:szCs w:val="20"/>
          <w:lang w:eastAsia="sl-SI"/>
        </w:rPr>
      </w:pPr>
    </w:p>
    <w:sectPr w:rsidR="007E5ED0" w:rsidRPr="007E5ED0" w:rsidSect="000535E7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23A15" w14:textId="77777777" w:rsidR="00965876" w:rsidRDefault="00965876">
      <w:pPr>
        <w:spacing w:after="0" w:line="240" w:lineRule="auto"/>
      </w:pPr>
      <w:r>
        <w:separator/>
      </w:r>
    </w:p>
  </w:endnote>
  <w:endnote w:type="continuationSeparator" w:id="0">
    <w:p w14:paraId="2EE3A331" w14:textId="77777777" w:rsidR="00965876" w:rsidRDefault="009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D027" w14:textId="77777777" w:rsidR="00965876" w:rsidRDefault="00965876">
      <w:pPr>
        <w:spacing w:after="0" w:line="240" w:lineRule="auto"/>
      </w:pPr>
      <w:r>
        <w:separator/>
      </w:r>
    </w:p>
  </w:footnote>
  <w:footnote w:type="continuationSeparator" w:id="0">
    <w:p w14:paraId="69673FC5" w14:textId="77777777" w:rsidR="00965876" w:rsidRDefault="0096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6381" w14:textId="77777777" w:rsidR="00C80044" w:rsidRDefault="003F4238" w:rsidP="00D345B9">
    <w:pPr>
      <w:pStyle w:val="Glava"/>
      <w:tabs>
        <w:tab w:val="center" w:pos="8364"/>
      </w:tabs>
    </w:pPr>
    <w:r>
      <w:t xml:space="preserve">Obrazec: </w:t>
    </w:r>
    <w:r w:rsidR="007E5ED0">
      <w:t>TROV – ODPUST</w:t>
    </w:r>
    <w:r w:rsidR="00D50F59">
      <w:tab/>
    </w:r>
    <w:r w:rsidR="00D50F59">
      <w:tab/>
    </w:r>
    <w:r w:rsidR="00D345B9">
      <w:t xml:space="preserve">                                  </w:t>
    </w:r>
    <w:r w:rsidR="00D345B9">
      <w:rPr>
        <w:noProof/>
        <w:lang w:eastAsia="sl-SI"/>
      </w:rPr>
      <w:drawing>
        <wp:inline distT="0" distB="0" distL="0" distR="0" wp14:anchorId="008C855E" wp14:editId="29E50DAA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3E4A6C" w14:textId="77777777" w:rsidR="00C80044" w:rsidRDefault="0025782A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45DBB"/>
    <w:multiLevelType w:val="hybridMultilevel"/>
    <w:tmpl w:val="67C69180"/>
    <w:lvl w:ilvl="0" w:tplc="5B80A7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7F62XwNeAVICoTF5Bl+5oSe9Fsa/eTcnNrKvzikcSMpFF9AZMfMxc2nh147Y4kLB6wsOTWXvCosjEMQxhNumfw==" w:salt="fGA9aCcnjrFaCzaJu6PS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59"/>
    <w:rsid w:val="0007313B"/>
    <w:rsid w:val="001350D2"/>
    <w:rsid w:val="0023124D"/>
    <w:rsid w:val="002872B2"/>
    <w:rsid w:val="003F4238"/>
    <w:rsid w:val="003F7394"/>
    <w:rsid w:val="004B6E04"/>
    <w:rsid w:val="004D1B15"/>
    <w:rsid w:val="0052366D"/>
    <w:rsid w:val="00554076"/>
    <w:rsid w:val="00650E4D"/>
    <w:rsid w:val="006912DA"/>
    <w:rsid w:val="006F7A0E"/>
    <w:rsid w:val="007871FE"/>
    <w:rsid w:val="007925A9"/>
    <w:rsid w:val="007E5ED0"/>
    <w:rsid w:val="00817C66"/>
    <w:rsid w:val="00965876"/>
    <w:rsid w:val="009E51F0"/>
    <w:rsid w:val="00AA738A"/>
    <w:rsid w:val="00B32048"/>
    <w:rsid w:val="00C75A96"/>
    <w:rsid w:val="00CA653E"/>
    <w:rsid w:val="00D345B9"/>
    <w:rsid w:val="00D50F59"/>
    <w:rsid w:val="00DA6108"/>
    <w:rsid w:val="00DB7D31"/>
    <w:rsid w:val="00E42EED"/>
    <w:rsid w:val="00EB3943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910EA"/>
  <w15:chartTrackingRefBased/>
  <w15:docId w15:val="{DFB37AC3-E95E-4471-8480-3603045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50F5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D50F59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E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E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7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8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B</dc:creator>
  <cp:keywords/>
  <dc:description/>
  <cp:lastModifiedBy>FURS</cp:lastModifiedBy>
  <cp:revision>4</cp:revision>
  <cp:lastPrinted>2022-11-09T12:59:00Z</cp:lastPrinted>
  <dcterms:created xsi:type="dcterms:W3CDTF">2023-01-18T13:51:00Z</dcterms:created>
  <dcterms:modified xsi:type="dcterms:W3CDTF">2023-01-18T14:07:00Z</dcterms:modified>
</cp:coreProperties>
</file>