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36C" w:rsidRPr="006335DC" w:rsidRDefault="0002136C" w:rsidP="00DF766C">
      <w:pPr>
        <w:jc w:val="center"/>
        <w:rPr>
          <w:rFonts w:asciiTheme="minorHAnsi" w:hAnsiTheme="minorHAnsi" w:cs="Calibri"/>
          <w:b/>
          <w:bCs/>
          <w:color w:val="000000"/>
          <w:sz w:val="20"/>
          <w:szCs w:val="20"/>
          <w:lang w:eastAsia="sl-SI"/>
        </w:rPr>
      </w:pPr>
      <w:r w:rsidRPr="009447DE">
        <w:rPr>
          <w:rFonts w:asciiTheme="minorHAnsi" w:hAnsiTheme="minorHAnsi" w:cs="Calibri"/>
          <w:b/>
          <w:bCs/>
          <w:color w:val="000000"/>
          <w:sz w:val="20"/>
          <w:szCs w:val="20"/>
          <w:lang w:eastAsia="sl-SI"/>
        </w:rPr>
        <w:t>Navodilo za izpolnjevanje obrazca</w:t>
      </w:r>
    </w:p>
    <w:tbl>
      <w:tblPr>
        <w:tblW w:w="10672" w:type="dxa"/>
        <w:tblInd w:w="60" w:type="dxa"/>
        <w:tblCellMar>
          <w:left w:w="70" w:type="dxa"/>
          <w:right w:w="70" w:type="dxa"/>
        </w:tblCellMar>
        <w:tblLook w:val="00A0" w:firstRow="1" w:lastRow="0" w:firstColumn="1" w:lastColumn="0" w:noHBand="0" w:noVBand="0"/>
      </w:tblPr>
      <w:tblGrid>
        <w:gridCol w:w="3412"/>
        <w:gridCol w:w="7260"/>
      </w:tblGrid>
      <w:tr w:rsidR="0002136C" w:rsidRPr="0042474A" w:rsidTr="00097A5B">
        <w:trPr>
          <w:trHeight w:val="298"/>
        </w:trPr>
        <w:tc>
          <w:tcPr>
            <w:tcW w:w="3412" w:type="dxa"/>
            <w:tcBorders>
              <w:top w:val="single" w:sz="8" w:space="0" w:color="auto"/>
              <w:left w:val="single" w:sz="8" w:space="0" w:color="auto"/>
              <w:bottom w:val="single" w:sz="8" w:space="0" w:color="auto"/>
              <w:right w:val="single" w:sz="8" w:space="0" w:color="auto"/>
            </w:tcBorders>
            <w:vAlign w:val="center"/>
          </w:tcPr>
          <w:p w:rsidR="0002136C" w:rsidRPr="0042474A" w:rsidRDefault="0002136C" w:rsidP="00097A5B">
            <w:pPr>
              <w:spacing w:after="0"/>
              <w:rPr>
                <w:rFonts w:asciiTheme="minorHAnsi" w:hAnsiTheme="minorHAnsi" w:cs="Calibri"/>
                <w:b/>
                <w:bCs/>
                <w:color w:val="000000"/>
                <w:sz w:val="18"/>
                <w:szCs w:val="18"/>
                <w:lang w:eastAsia="sl-SI"/>
              </w:rPr>
            </w:pPr>
            <w:r w:rsidRPr="0042474A">
              <w:rPr>
                <w:rFonts w:asciiTheme="minorHAnsi" w:hAnsiTheme="minorHAnsi" w:cs="Calibri"/>
                <w:b/>
                <w:bCs/>
                <w:color w:val="000000"/>
                <w:sz w:val="18"/>
                <w:szCs w:val="18"/>
                <w:lang w:eastAsia="sl-SI"/>
              </w:rPr>
              <w:t>Vloga za spremembo dovoljenja</w:t>
            </w:r>
          </w:p>
        </w:tc>
        <w:tc>
          <w:tcPr>
            <w:tcW w:w="7260" w:type="dxa"/>
            <w:tcBorders>
              <w:top w:val="single" w:sz="8" w:space="0" w:color="auto"/>
              <w:left w:val="nil"/>
              <w:bottom w:val="single" w:sz="8" w:space="0" w:color="auto"/>
              <w:right w:val="single" w:sz="8" w:space="0" w:color="auto"/>
            </w:tcBorders>
            <w:vAlign w:val="center"/>
          </w:tcPr>
          <w:p w:rsidR="0002136C" w:rsidRPr="0042474A" w:rsidRDefault="0002136C" w:rsidP="00097A5B">
            <w:pPr>
              <w:spacing w:after="0"/>
              <w:jc w:val="both"/>
              <w:rPr>
                <w:rFonts w:asciiTheme="minorHAnsi" w:hAnsiTheme="minorHAnsi" w:cs="Calibri"/>
                <w:bCs/>
                <w:i/>
                <w:iCs/>
                <w:color w:val="000000"/>
                <w:sz w:val="18"/>
                <w:szCs w:val="18"/>
                <w:lang w:eastAsia="sl-SI"/>
              </w:rPr>
            </w:pPr>
            <w:r w:rsidRPr="0042474A">
              <w:rPr>
                <w:rFonts w:asciiTheme="minorHAnsi" w:hAnsiTheme="minorHAnsi" w:cs="Calibri"/>
                <w:bCs/>
                <w:i/>
                <w:iCs/>
                <w:color w:val="000000"/>
                <w:sz w:val="18"/>
                <w:szCs w:val="18"/>
                <w:lang w:eastAsia="sl-SI"/>
              </w:rPr>
              <w:t>Vpiše se številka dovoljenja , ki je bila s strani davčnega organa podeljena pri izdaji dovoljenja. Podrobnejši opis podatkov, ki se spreminjajo v dovoljenju (navedba novih podatkov in tistih, ki se črtajo) se vpiše v 4. sklop »Dodatna obrazložitev« te vloge. Vloga se v ustreznih sklopih izpolni z novim stanjem podatkov. Polje predvideno za obseg odprem trošarinskih izdelkov v režimu odloga se izpolni le, če gre za navedbo novih izdelkov.</w:t>
            </w:r>
          </w:p>
        </w:tc>
      </w:tr>
      <w:tr w:rsidR="0002136C" w:rsidRPr="0042474A" w:rsidTr="00097A5B">
        <w:trPr>
          <w:trHeight w:val="298"/>
        </w:trPr>
        <w:tc>
          <w:tcPr>
            <w:tcW w:w="3412" w:type="dxa"/>
            <w:tcBorders>
              <w:top w:val="single" w:sz="8" w:space="0" w:color="auto"/>
              <w:left w:val="single" w:sz="8" w:space="0" w:color="auto"/>
              <w:bottom w:val="single" w:sz="8" w:space="0" w:color="auto"/>
              <w:right w:val="single" w:sz="8" w:space="0" w:color="auto"/>
            </w:tcBorders>
            <w:vAlign w:val="center"/>
          </w:tcPr>
          <w:p w:rsidR="0002136C" w:rsidRPr="0042474A" w:rsidRDefault="0002136C" w:rsidP="00097A5B">
            <w:pPr>
              <w:spacing w:after="0"/>
              <w:rPr>
                <w:rFonts w:asciiTheme="minorHAnsi" w:hAnsiTheme="minorHAnsi" w:cs="Calibri"/>
                <w:b/>
                <w:bCs/>
                <w:color w:val="000000"/>
                <w:sz w:val="18"/>
                <w:szCs w:val="18"/>
                <w:lang w:eastAsia="sl-SI"/>
              </w:rPr>
            </w:pPr>
            <w:r w:rsidRPr="0042474A">
              <w:rPr>
                <w:rFonts w:asciiTheme="minorHAnsi" w:hAnsiTheme="minorHAnsi" w:cs="Calibri"/>
                <w:b/>
                <w:bCs/>
                <w:color w:val="000000"/>
                <w:sz w:val="18"/>
                <w:szCs w:val="18"/>
                <w:lang w:eastAsia="sl-SI"/>
              </w:rPr>
              <w:t>1. Identifikacijski podatki</w:t>
            </w:r>
          </w:p>
        </w:tc>
        <w:tc>
          <w:tcPr>
            <w:tcW w:w="7260" w:type="dxa"/>
            <w:tcBorders>
              <w:top w:val="single" w:sz="8" w:space="0" w:color="auto"/>
              <w:left w:val="nil"/>
              <w:bottom w:val="single" w:sz="8" w:space="0" w:color="auto"/>
              <w:right w:val="single" w:sz="8" w:space="0" w:color="auto"/>
            </w:tcBorders>
            <w:vAlign w:val="center"/>
          </w:tcPr>
          <w:p w:rsidR="0002136C" w:rsidRPr="0042474A" w:rsidRDefault="0002136C" w:rsidP="00097A5B">
            <w:pPr>
              <w:spacing w:after="0"/>
              <w:rPr>
                <w:rFonts w:asciiTheme="minorHAnsi" w:hAnsiTheme="minorHAnsi" w:cs="Calibri"/>
                <w:bCs/>
                <w:i/>
                <w:iCs/>
                <w:color w:val="000000"/>
                <w:sz w:val="18"/>
                <w:szCs w:val="18"/>
                <w:lang w:eastAsia="sl-SI"/>
              </w:rPr>
            </w:pPr>
            <w:r w:rsidRPr="0042474A">
              <w:rPr>
                <w:rFonts w:asciiTheme="minorHAnsi" w:hAnsiTheme="minorHAnsi" w:cs="Calibri"/>
                <w:bCs/>
                <w:i/>
                <w:iCs/>
                <w:color w:val="000000"/>
                <w:sz w:val="18"/>
                <w:szCs w:val="18"/>
                <w:lang w:eastAsia="sl-SI"/>
              </w:rPr>
              <w:t>Vpišejo se ustrezni podatki.</w:t>
            </w:r>
          </w:p>
        </w:tc>
      </w:tr>
      <w:tr w:rsidR="0002136C" w:rsidRPr="0042474A" w:rsidTr="00097A5B">
        <w:trPr>
          <w:trHeight w:val="298"/>
        </w:trPr>
        <w:tc>
          <w:tcPr>
            <w:tcW w:w="3412" w:type="dxa"/>
            <w:tcBorders>
              <w:top w:val="nil"/>
              <w:left w:val="single" w:sz="8" w:space="0" w:color="auto"/>
              <w:bottom w:val="single" w:sz="8" w:space="0" w:color="auto"/>
              <w:right w:val="single" w:sz="8" w:space="0" w:color="auto"/>
            </w:tcBorders>
            <w:vAlign w:val="center"/>
          </w:tcPr>
          <w:p w:rsidR="0002136C" w:rsidRPr="0042474A" w:rsidRDefault="0002136C" w:rsidP="00097A5B">
            <w:pPr>
              <w:spacing w:after="0"/>
              <w:rPr>
                <w:rFonts w:asciiTheme="minorHAnsi" w:hAnsiTheme="minorHAnsi" w:cs="Calibri"/>
                <w:bCs/>
                <w:color w:val="000000"/>
                <w:sz w:val="18"/>
                <w:szCs w:val="18"/>
                <w:lang w:eastAsia="sl-SI"/>
              </w:rPr>
            </w:pPr>
            <w:r w:rsidRPr="0042474A">
              <w:rPr>
                <w:rFonts w:asciiTheme="minorHAnsi" w:hAnsiTheme="minorHAnsi" w:cs="Calibri"/>
                <w:bCs/>
                <w:color w:val="000000"/>
                <w:sz w:val="18"/>
                <w:szCs w:val="18"/>
                <w:lang w:eastAsia="sl-SI"/>
              </w:rPr>
              <w:t xml:space="preserve">Oseba, odgovorna za poslovanje in namestnik  </w:t>
            </w:r>
          </w:p>
        </w:tc>
        <w:tc>
          <w:tcPr>
            <w:tcW w:w="7260" w:type="dxa"/>
            <w:tcBorders>
              <w:top w:val="nil"/>
              <w:left w:val="nil"/>
              <w:bottom w:val="single" w:sz="8" w:space="0" w:color="auto"/>
              <w:right w:val="single" w:sz="8" w:space="0" w:color="auto"/>
            </w:tcBorders>
            <w:vAlign w:val="center"/>
          </w:tcPr>
          <w:p w:rsidR="0002136C" w:rsidRPr="0042474A" w:rsidRDefault="0002136C" w:rsidP="00097A5B">
            <w:pPr>
              <w:spacing w:after="0"/>
              <w:rPr>
                <w:rFonts w:asciiTheme="minorHAnsi" w:hAnsiTheme="minorHAnsi" w:cs="Calibri"/>
                <w:bCs/>
                <w:i/>
                <w:iCs/>
                <w:color w:val="000000"/>
                <w:sz w:val="18"/>
                <w:szCs w:val="18"/>
                <w:lang w:eastAsia="sl-SI"/>
              </w:rPr>
            </w:pPr>
            <w:r w:rsidRPr="0042474A">
              <w:rPr>
                <w:rFonts w:asciiTheme="minorHAnsi" w:hAnsiTheme="minorHAnsi" w:cs="Calibri"/>
                <w:bCs/>
                <w:i/>
                <w:iCs/>
                <w:color w:val="000000"/>
                <w:sz w:val="18"/>
                <w:szCs w:val="18"/>
                <w:lang w:eastAsia="sl-SI"/>
              </w:rPr>
              <w:t>Vpišejo se ime, priimek in kontaktni podatki (elektronski naslov, telefonska številka).</w:t>
            </w:r>
          </w:p>
        </w:tc>
      </w:tr>
      <w:tr w:rsidR="0002136C" w:rsidRPr="0042474A" w:rsidTr="00097A5B">
        <w:trPr>
          <w:trHeight w:val="298"/>
        </w:trPr>
        <w:tc>
          <w:tcPr>
            <w:tcW w:w="3412" w:type="dxa"/>
            <w:tcBorders>
              <w:top w:val="nil"/>
              <w:left w:val="single" w:sz="8" w:space="0" w:color="auto"/>
              <w:bottom w:val="single" w:sz="8" w:space="0" w:color="auto"/>
              <w:right w:val="single" w:sz="8" w:space="0" w:color="auto"/>
            </w:tcBorders>
            <w:vAlign w:val="center"/>
          </w:tcPr>
          <w:p w:rsidR="0002136C" w:rsidRPr="0042474A" w:rsidRDefault="0002136C" w:rsidP="00097A5B">
            <w:pPr>
              <w:spacing w:after="0"/>
              <w:rPr>
                <w:rFonts w:asciiTheme="minorHAnsi" w:hAnsiTheme="minorHAnsi" w:cs="Calibri"/>
                <w:bCs/>
                <w:color w:val="000000"/>
                <w:sz w:val="18"/>
                <w:szCs w:val="18"/>
                <w:lang w:eastAsia="sl-SI"/>
              </w:rPr>
            </w:pPr>
            <w:r w:rsidRPr="0042474A">
              <w:rPr>
                <w:rFonts w:asciiTheme="minorHAnsi" w:hAnsiTheme="minorHAnsi" w:cs="Calibri"/>
                <w:bCs/>
                <w:color w:val="000000"/>
                <w:sz w:val="18"/>
                <w:szCs w:val="18"/>
                <w:lang w:eastAsia="sl-SI"/>
              </w:rPr>
              <w:t>Osebe, odgovorne za poslovanje s trošarinskimi dokumenti</w:t>
            </w:r>
          </w:p>
        </w:tc>
        <w:tc>
          <w:tcPr>
            <w:tcW w:w="7260" w:type="dxa"/>
            <w:tcBorders>
              <w:top w:val="nil"/>
              <w:left w:val="nil"/>
              <w:bottom w:val="single" w:sz="8" w:space="0" w:color="auto"/>
              <w:right w:val="single" w:sz="8" w:space="0" w:color="auto"/>
            </w:tcBorders>
            <w:vAlign w:val="center"/>
          </w:tcPr>
          <w:p w:rsidR="0002136C" w:rsidRPr="0042474A" w:rsidRDefault="0002136C" w:rsidP="00097A5B">
            <w:pPr>
              <w:spacing w:after="0"/>
              <w:rPr>
                <w:rFonts w:asciiTheme="minorHAnsi" w:hAnsiTheme="minorHAnsi" w:cs="Calibri"/>
                <w:bCs/>
                <w:i/>
                <w:iCs/>
                <w:color w:val="000000"/>
                <w:sz w:val="18"/>
                <w:szCs w:val="18"/>
                <w:lang w:eastAsia="sl-SI"/>
              </w:rPr>
            </w:pPr>
            <w:r w:rsidRPr="0042474A">
              <w:rPr>
                <w:rFonts w:asciiTheme="minorHAnsi" w:hAnsiTheme="minorHAnsi" w:cs="Calibri"/>
                <w:bCs/>
                <w:i/>
                <w:iCs/>
                <w:color w:val="000000"/>
                <w:sz w:val="18"/>
                <w:szCs w:val="18"/>
                <w:lang w:eastAsia="sl-SI"/>
              </w:rPr>
              <w:t>Vpišejo se ime, priimek in kontaktni podatki (elektronski naslov, telefonska številka).</w:t>
            </w:r>
          </w:p>
        </w:tc>
      </w:tr>
      <w:tr w:rsidR="0002136C" w:rsidRPr="0042474A" w:rsidTr="00097A5B">
        <w:trPr>
          <w:trHeight w:val="298"/>
        </w:trPr>
        <w:tc>
          <w:tcPr>
            <w:tcW w:w="3412" w:type="dxa"/>
            <w:tcBorders>
              <w:top w:val="nil"/>
              <w:left w:val="single" w:sz="8" w:space="0" w:color="auto"/>
              <w:bottom w:val="single" w:sz="8" w:space="0" w:color="auto"/>
              <w:right w:val="single" w:sz="8" w:space="0" w:color="auto"/>
            </w:tcBorders>
            <w:vAlign w:val="center"/>
          </w:tcPr>
          <w:p w:rsidR="0002136C" w:rsidRPr="0042474A" w:rsidRDefault="0002136C" w:rsidP="00097A5B">
            <w:pPr>
              <w:spacing w:after="0"/>
              <w:rPr>
                <w:rFonts w:asciiTheme="minorHAnsi" w:hAnsiTheme="minorHAnsi" w:cs="Calibri"/>
                <w:bCs/>
                <w:color w:val="000000"/>
                <w:sz w:val="18"/>
                <w:szCs w:val="18"/>
                <w:lang w:eastAsia="sl-SI"/>
              </w:rPr>
            </w:pPr>
            <w:r w:rsidRPr="0042474A">
              <w:rPr>
                <w:rFonts w:asciiTheme="minorHAnsi" w:hAnsiTheme="minorHAnsi" w:cs="Calibri"/>
                <w:bCs/>
                <w:color w:val="000000"/>
                <w:sz w:val="18"/>
                <w:szCs w:val="18"/>
                <w:lang w:eastAsia="sl-SI"/>
              </w:rPr>
              <w:t>Število in navedba lokacij poslovnih in drugih prostorov, ki se uporabljajo za opravljanje dejavnosti</w:t>
            </w:r>
          </w:p>
        </w:tc>
        <w:tc>
          <w:tcPr>
            <w:tcW w:w="7260" w:type="dxa"/>
            <w:tcBorders>
              <w:top w:val="nil"/>
              <w:left w:val="nil"/>
              <w:bottom w:val="single" w:sz="8" w:space="0" w:color="auto"/>
              <w:right w:val="single" w:sz="8" w:space="0" w:color="auto"/>
            </w:tcBorders>
            <w:vAlign w:val="center"/>
          </w:tcPr>
          <w:p w:rsidR="0002136C" w:rsidRPr="0042474A" w:rsidRDefault="0002136C" w:rsidP="00097A5B">
            <w:pPr>
              <w:spacing w:after="0"/>
              <w:rPr>
                <w:rFonts w:asciiTheme="minorHAnsi" w:hAnsiTheme="minorHAnsi" w:cs="Calibri"/>
                <w:bCs/>
                <w:i/>
                <w:iCs/>
                <w:color w:val="000000"/>
                <w:sz w:val="18"/>
                <w:szCs w:val="18"/>
                <w:lang w:eastAsia="sl-SI"/>
              </w:rPr>
            </w:pPr>
            <w:r w:rsidRPr="0042474A">
              <w:rPr>
                <w:rFonts w:asciiTheme="minorHAnsi" w:hAnsiTheme="minorHAnsi" w:cs="Calibri"/>
                <w:bCs/>
                <w:i/>
                <w:iCs/>
                <w:color w:val="000000"/>
                <w:sz w:val="18"/>
                <w:szCs w:val="18"/>
                <w:lang w:eastAsia="sl-SI"/>
              </w:rPr>
              <w:t>Navedejo se naslovi lokacij, kjer se bo izvajal prejem.</w:t>
            </w:r>
          </w:p>
        </w:tc>
      </w:tr>
      <w:tr w:rsidR="0002136C" w:rsidRPr="0042474A" w:rsidTr="00097A5B">
        <w:trPr>
          <w:trHeight w:val="298"/>
        </w:trPr>
        <w:tc>
          <w:tcPr>
            <w:tcW w:w="3412" w:type="dxa"/>
            <w:tcBorders>
              <w:top w:val="nil"/>
              <w:left w:val="single" w:sz="8" w:space="0" w:color="auto"/>
              <w:bottom w:val="single" w:sz="8" w:space="0" w:color="auto"/>
              <w:right w:val="single" w:sz="8" w:space="0" w:color="auto"/>
            </w:tcBorders>
            <w:vAlign w:val="center"/>
          </w:tcPr>
          <w:p w:rsidR="0002136C" w:rsidRPr="0042474A" w:rsidRDefault="0002136C" w:rsidP="00097A5B">
            <w:pPr>
              <w:spacing w:after="0"/>
              <w:rPr>
                <w:rFonts w:asciiTheme="minorHAnsi" w:hAnsiTheme="minorHAnsi" w:cs="Calibri"/>
                <w:bCs/>
                <w:color w:val="000000"/>
                <w:sz w:val="18"/>
                <w:szCs w:val="18"/>
                <w:lang w:eastAsia="sl-SI"/>
              </w:rPr>
            </w:pPr>
            <w:r w:rsidRPr="0042474A">
              <w:rPr>
                <w:rFonts w:asciiTheme="minorHAnsi" w:hAnsiTheme="minorHAnsi" w:cs="Calibri"/>
                <w:bCs/>
                <w:color w:val="000000"/>
                <w:sz w:val="18"/>
                <w:szCs w:val="18"/>
                <w:lang w:eastAsia="sl-SI"/>
              </w:rPr>
              <w:t>Opis dejavnosti s trošarinskimi izdelki</w:t>
            </w:r>
          </w:p>
        </w:tc>
        <w:tc>
          <w:tcPr>
            <w:tcW w:w="7260" w:type="dxa"/>
            <w:tcBorders>
              <w:top w:val="nil"/>
              <w:left w:val="nil"/>
              <w:bottom w:val="single" w:sz="8" w:space="0" w:color="auto"/>
              <w:right w:val="single" w:sz="8" w:space="0" w:color="auto"/>
            </w:tcBorders>
            <w:vAlign w:val="center"/>
          </w:tcPr>
          <w:p w:rsidR="0002136C" w:rsidRPr="0042474A" w:rsidRDefault="0002136C" w:rsidP="00097A5B">
            <w:pPr>
              <w:spacing w:after="0"/>
              <w:jc w:val="both"/>
              <w:rPr>
                <w:rFonts w:asciiTheme="minorHAnsi" w:hAnsiTheme="minorHAnsi" w:cs="Calibri"/>
                <w:bCs/>
                <w:i/>
                <w:iCs/>
                <w:color w:val="000000"/>
                <w:sz w:val="18"/>
                <w:szCs w:val="18"/>
                <w:lang w:eastAsia="sl-SI"/>
              </w:rPr>
            </w:pPr>
            <w:r w:rsidRPr="0042474A">
              <w:rPr>
                <w:rFonts w:asciiTheme="minorHAnsi" w:hAnsiTheme="minorHAnsi" w:cs="Calibri"/>
                <w:bCs/>
                <w:i/>
                <w:iCs/>
                <w:color w:val="000000"/>
                <w:sz w:val="18"/>
                <w:szCs w:val="18"/>
                <w:lang w:eastAsia="sl-SI"/>
              </w:rPr>
              <w:t>Poleg opisa načina poslovanja s trošarinskimi izdelki se obvezno navede tudi ali bo izvajal prejem v režimu odloga v svoje trošarinsko skladišče ali obrat oproščenega uporabnika.</w:t>
            </w:r>
          </w:p>
        </w:tc>
      </w:tr>
      <w:tr w:rsidR="0002136C" w:rsidRPr="0042474A" w:rsidTr="00097A5B">
        <w:trPr>
          <w:trHeight w:val="268"/>
        </w:trPr>
        <w:tc>
          <w:tcPr>
            <w:tcW w:w="3412" w:type="dxa"/>
            <w:tcBorders>
              <w:top w:val="nil"/>
              <w:left w:val="single" w:sz="8" w:space="0" w:color="auto"/>
              <w:bottom w:val="single" w:sz="8" w:space="0" w:color="auto"/>
              <w:right w:val="single" w:sz="8" w:space="0" w:color="auto"/>
            </w:tcBorders>
            <w:vAlign w:val="center"/>
          </w:tcPr>
          <w:p w:rsidR="0002136C" w:rsidRPr="0042474A" w:rsidRDefault="0002136C" w:rsidP="00097A5B">
            <w:pPr>
              <w:spacing w:after="0"/>
              <w:rPr>
                <w:rFonts w:asciiTheme="minorHAnsi" w:hAnsiTheme="minorHAnsi" w:cs="Calibri"/>
                <w:b/>
                <w:bCs/>
                <w:color w:val="000000"/>
                <w:sz w:val="18"/>
                <w:szCs w:val="18"/>
                <w:lang w:eastAsia="sl-SI"/>
              </w:rPr>
            </w:pPr>
            <w:r w:rsidRPr="0042474A">
              <w:rPr>
                <w:rFonts w:asciiTheme="minorHAnsi" w:hAnsiTheme="minorHAnsi" w:cs="Calibri"/>
                <w:b/>
                <w:bCs/>
                <w:color w:val="000000"/>
                <w:sz w:val="18"/>
                <w:szCs w:val="18"/>
                <w:lang w:eastAsia="sl-SI"/>
              </w:rPr>
              <w:t>2. Podatki o vrsti trošarinskih izdelkov</w:t>
            </w:r>
          </w:p>
        </w:tc>
        <w:tc>
          <w:tcPr>
            <w:tcW w:w="7260" w:type="dxa"/>
            <w:tcBorders>
              <w:top w:val="nil"/>
              <w:left w:val="single" w:sz="8" w:space="0" w:color="auto"/>
              <w:bottom w:val="single" w:sz="8" w:space="0" w:color="000000"/>
              <w:right w:val="single" w:sz="8" w:space="0" w:color="auto"/>
            </w:tcBorders>
            <w:vAlign w:val="center"/>
          </w:tcPr>
          <w:p w:rsidR="0002136C" w:rsidRPr="0042474A" w:rsidRDefault="0002136C" w:rsidP="00097A5B">
            <w:pPr>
              <w:spacing w:after="0"/>
              <w:jc w:val="both"/>
              <w:rPr>
                <w:rFonts w:asciiTheme="minorHAnsi" w:hAnsiTheme="minorHAnsi" w:cs="Calibri"/>
                <w:bCs/>
                <w:i/>
                <w:iCs/>
                <w:color w:val="000000"/>
                <w:sz w:val="18"/>
                <w:szCs w:val="18"/>
                <w:lang w:eastAsia="sl-SI"/>
              </w:rPr>
            </w:pPr>
            <w:r w:rsidRPr="0042474A">
              <w:rPr>
                <w:rFonts w:asciiTheme="minorHAnsi" w:hAnsiTheme="minorHAnsi" w:cs="Calibri"/>
                <w:bCs/>
                <w:i/>
                <w:iCs/>
                <w:color w:val="000000"/>
                <w:sz w:val="18"/>
                <w:szCs w:val="18"/>
                <w:lang w:eastAsia="sl-SI"/>
              </w:rPr>
              <w:t>V stolpec (1) se označi trošarinske izdelke, ki so predmet prejema.</w:t>
            </w:r>
          </w:p>
          <w:p w:rsidR="0002136C" w:rsidRPr="0042474A" w:rsidRDefault="0002136C" w:rsidP="00097A5B">
            <w:pPr>
              <w:spacing w:after="0"/>
              <w:jc w:val="both"/>
              <w:rPr>
                <w:rFonts w:asciiTheme="minorHAnsi" w:hAnsiTheme="minorHAnsi" w:cs="Calibri"/>
                <w:bCs/>
                <w:i/>
                <w:iCs/>
                <w:color w:val="000000"/>
                <w:sz w:val="18"/>
                <w:szCs w:val="18"/>
                <w:lang w:eastAsia="sl-SI"/>
              </w:rPr>
            </w:pPr>
            <w:r w:rsidRPr="0042474A">
              <w:rPr>
                <w:rFonts w:asciiTheme="minorHAnsi" w:hAnsiTheme="minorHAnsi" w:cs="Calibri"/>
                <w:bCs/>
                <w:i/>
                <w:iCs/>
                <w:color w:val="000000"/>
                <w:sz w:val="18"/>
                <w:szCs w:val="18"/>
                <w:lang w:eastAsia="sl-SI"/>
              </w:rPr>
              <w:t>V stolpec (2) se vpiše šestmestna tarifna oznaka kombinirane nomenklature carinske tarife trošarinskega izdelka, razen pri mirnem vinu, penečem vinu, drugih fermentiranih pijačah in pri energentih se vpiše osemmestna tarifna oznaka kombinirane nomenklature in pri trdih gorivih štirimestna.</w:t>
            </w:r>
          </w:p>
          <w:p w:rsidR="0002136C" w:rsidRPr="0042474A" w:rsidRDefault="0002136C" w:rsidP="00097A5B">
            <w:pPr>
              <w:spacing w:after="0"/>
              <w:jc w:val="both"/>
              <w:rPr>
                <w:rFonts w:asciiTheme="minorHAnsi" w:hAnsiTheme="minorHAnsi" w:cs="Calibri"/>
                <w:bCs/>
                <w:i/>
                <w:iCs/>
                <w:color w:val="000000"/>
                <w:sz w:val="18"/>
                <w:szCs w:val="18"/>
                <w:lang w:eastAsia="sl-SI"/>
              </w:rPr>
            </w:pPr>
            <w:r w:rsidRPr="0042474A">
              <w:rPr>
                <w:rFonts w:asciiTheme="minorHAnsi" w:hAnsiTheme="minorHAnsi" w:cs="Calibri"/>
                <w:bCs/>
                <w:i/>
                <w:iCs/>
                <w:color w:val="000000"/>
                <w:sz w:val="18"/>
                <w:szCs w:val="18"/>
                <w:lang w:eastAsia="sl-SI"/>
              </w:rPr>
              <w:t xml:space="preserve">V stolpec (3) se vpiše predviden obseg prejema za obdobje 12 mesecev v ustrezni merski </w:t>
            </w:r>
            <w:r w:rsidR="009236CC">
              <w:rPr>
                <w:rFonts w:asciiTheme="minorHAnsi" w:hAnsiTheme="minorHAnsi" w:cs="Calibri"/>
                <w:bCs/>
                <w:i/>
                <w:iCs/>
                <w:color w:val="000000"/>
                <w:sz w:val="18"/>
                <w:szCs w:val="18"/>
                <w:lang w:eastAsia="sl-SI"/>
              </w:rPr>
              <w:t>enoti. Količina za nedenaturiran etilni alkohol</w:t>
            </w:r>
            <w:r w:rsidRPr="0042474A">
              <w:rPr>
                <w:rFonts w:asciiTheme="minorHAnsi" w:hAnsiTheme="minorHAnsi" w:cs="Calibri"/>
                <w:bCs/>
                <w:i/>
                <w:iCs/>
                <w:color w:val="000000"/>
                <w:sz w:val="18"/>
                <w:szCs w:val="18"/>
                <w:lang w:eastAsia="sl-SI"/>
              </w:rPr>
              <w:t xml:space="preserve"> z vsebnostjo 8</w:t>
            </w:r>
            <w:r w:rsidR="009236CC">
              <w:rPr>
                <w:rFonts w:asciiTheme="minorHAnsi" w:hAnsiTheme="minorHAnsi" w:cs="Calibri"/>
                <w:bCs/>
                <w:i/>
                <w:iCs/>
                <w:color w:val="000000"/>
                <w:sz w:val="18"/>
                <w:szCs w:val="18"/>
                <w:lang w:eastAsia="sl-SI"/>
              </w:rPr>
              <w:t>0 vol. % ali več, denaturirani etilni alkohol</w:t>
            </w:r>
            <w:r w:rsidRPr="0042474A">
              <w:rPr>
                <w:rFonts w:asciiTheme="minorHAnsi" w:hAnsiTheme="minorHAnsi" w:cs="Calibri"/>
                <w:bCs/>
                <w:i/>
                <w:iCs/>
                <w:color w:val="000000"/>
                <w:sz w:val="18"/>
                <w:szCs w:val="18"/>
                <w:lang w:eastAsia="sl-SI"/>
              </w:rPr>
              <w:t>, s katero koli vsebnostjo etanola in drug etilni alkohol se vpiše tako, da se preračuna na 100% prostorninske vsebnosti alkohola na en hektoliter etilnega alkohola. V primeru, da imamo 30 litrov 20% etilnega alkohola, se količina izračuna na sledeči način: (30l/100)*0,2=0,06 hl alk.</w:t>
            </w:r>
          </w:p>
        </w:tc>
      </w:tr>
      <w:tr w:rsidR="0002136C" w:rsidRPr="0042474A" w:rsidTr="00097A5B">
        <w:trPr>
          <w:trHeight w:val="268"/>
        </w:trPr>
        <w:tc>
          <w:tcPr>
            <w:tcW w:w="3412" w:type="dxa"/>
            <w:tcBorders>
              <w:top w:val="nil"/>
              <w:left w:val="single" w:sz="8" w:space="0" w:color="auto"/>
              <w:bottom w:val="single" w:sz="8" w:space="0" w:color="auto"/>
              <w:right w:val="single" w:sz="8" w:space="0" w:color="auto"/>
            </w:tcBorders>
            <w:vAlign w:val="center"/>
          </w:tcPr>
          <w:p w:rsidR="0002136C" w:rsidRPr="0042474A" w:rsidRDefault="0002136C" w:rsidP="00097A5B">
            <w:pPr>
              <w:spacing w:after="0"/>
              <w:rPr>
                <w:rFonts w:asciiTheme="minorHAnsi" w:hAnsiTheme="minorHAnsi" w:cs="Calibri"/>
                <w:bCs/>
                <w:color w:val="000000"/>
                <w:sz w:val="18"/>
                <w:szCs w:val="18"/>
                <w:lang w:eastAsia="sl-SI"/>
              </w:rPr>
            </w:pPr>
            <w:r w:rsidRPr="0042474A">
              <w:rPr>
                <w:rFonts w:asciiTheme="minorHAnsi" w:hAnsiTheme="minorHAnsi" w:cs="Calibri"/>
                <w:bCs/>
                <w:color w:val="000000"/>
                <w:sz w:val="18"/>
                <w:szCs w:val="18"/>
                <w:lang w:eastAsia="sl-SI"/>
              </w:rPr>
              <w:t>Način prejema trošarinskih izdelkov</w:t>
            </w:r>
          </w:p>
        </w:tc>
        <w:tc>
          <w:tcPr>
            <w:tcW w:w="7260" w:type="dxa"/>
            <w:tcBorders>
              <w:top w:val="nil"/>
              <w:left w:val="single" w:sz="8" w:space="0" w:color="auto"/>
              <w:bottom w:val="single" w:sz="8" w:space="0" w:color="000000"/>
              <w:right w:val="single" w:sz="8" w:space="0" w:color="auto"/>
            </w:tcBorders>
            <w:vAlign w:val="center"/>
          </w:tcPr>
          <w:p w:rsidR="0002136C" w:rsidRPr="0042474A" w:rsidRDefault="0002136C" w:rsidP="00097A5B">
            <w:pPr>
              <w:spacing w:after="0"/>
              <w:rPr>
                <w:rFonts w:asciiTheme="minorHAnsi" w:hAnsiTheme="minorHAnsi" w:cs="Calibri"/>
                <w:bCs/>
                <w:i/>
                <w:iCs/>
                <w:color w:val="000000"/>
                <w:sz w:val="18"/>
                <w:szCs w:val="18"/>
                <w:lang w:eastAsia="sl-SI"/>
              </w:rPr>
            </w:pPr>
            <w:r w:rsidRPr="0042474A">
              <w:rPr>
                <w:rFonts w:asciiTheme="minorHAnsi" w:hAnsiTheme="minorHAnsi" w:cs="Calibri"/>
                <w:bCs/>
                <w:i/>
                <w:iCs/>
                <w:color w:val="000000"/>
                <w:sz w:val="18"/>
                <w:szCs w:val="18"/>
                <w:lang w:eastAsia="sl-SI"/>
              </w:rPr>
              <w:t>Označi se vrsta transporta; kako bo organiziran prevoz – kot lastni ali drugače; kako se prevažajo trošarinski izdelki.</w:t>
            </w:r>
          </w:p>
        </w:tc>
      </w:tr>
      <w:tr w:rsidR="0002136C" w:rsidRPr="0042474A" w:rsidTr="00097A5B">
        <w:trPr>
          <w:trHeight w:val="268"/>
        </w:trPr>
        <w:tc>
          <w:tcPr>
            <w:tcW w:w="3412" w:type="dxa"/>
            <w:tcBorders>
              <w:top w:val="nil"/>
              <w:left w:val="single" w:sz="8" w:space="0" w:color="auto"/>
              <w:bottom w:val="single" w:sz="8" w:space="0" w:color="auto"/>
              <w:right w:val="single" w:sz="8" w:space="0" w:color="auto"/>
            </w:tcBorders>
            <w:vAlign w:val="center"/>
          </w:tcPr>
          <w:p w:rsidR="0002136C" w:rsidRPr="0042474A" w:rsidRDefault="0002136C" w:rsidP="00097A5B">
            <w:pPr>
              <w:spacing w:after="0"/>
              <w:rPr>
                <w:rFonts w:asciiTheme="minorHAnsi" w:hAnsiTheme="minorHAnsi" w:cs="Calibri"/>
                <w:bCs/>
                <w:color w:val="000000"/>
                <w:sz w:val="18"/>
                <w:szCs w:val="18"/>
                <w:lang w:eastAsia="sl-SI"/>
              </w:rPr>
            </w:pPr>
            <w:r w:rsidRPr="0042474A">
              <w:rPr>
                <w:rFonts w:asciiTheme="minorHAnsi" w:hAnsiTheme="minorHAnsi" w:cs="Calibri"/>
                <w:bCs/>
                <w:color w:val="000000"/>
                <w:sz w:val="18"/>
                <w:szCs w:val="18"/>
                <w:lang w:eastAsia="sl-SI"/>
              </w:rPr>
              <w:t>Prejem trošarinskih izdelkov na lokaciji neposredne dobave</w:t>
            </w:r>
          </w:p>
        </w:tc>
        <w:tc>
          <w:tcPr>
            <w:tcW w:w="7260" w:type="dxa"/>
            <w:tcBorders>
              <w:top w:val="nil"/>
              <w:left w:val="single" w:sz="8" w:space="0" w:color="auto"/>
              <w:bottom w:val="single" w:sz="8" w:space="0" w:color="000000"/>
              <w:right w:val="single" w:sz="8" w:space="0" w:color="auto"/>
            </w:tcBorders>
            <w:vAlign w:val="center"/>
          </w:tcPr>
          <w:p w:rsidR="0002136C" w:rsidRPr="0042474A" w:rsidRDefault="0002136C" w:rsidP="00097A5B">
            <w:pPr>
              <w:spacing w:after="0"/>
              <w:rPr>
                <w:rFonts w:asciiTheme="minorHAnsi" w:hAnsiTheme="minorHAnsi" w:cs="Calibri"/>
                <w:bCs/>
                <w:i/>
                <w:iCs/>
                <w:color w:val="000000"/>
                <w:sz w:val="18"/>
                <w:szCs w:val="18"/>
                <w:lang w:eastAsia="sl-SI"/>
              </w:rPr>
            </w:pPr>
            <w:r w:rsidRPr="0042474A">
              <w:rPr>
                <w:rFonts w:asciiTheme="minorHAnsi" w:hAnsiTheme="minorHAnsi" w:cs="Calibri"/>
                <w:bCs/>
                <w:i/>
                <w:iCs/>
                <w:color w:val="000000"/>
                <w:sz w:val="18"/>
                <w:szCs w:val="18"/>
                <w:lang w:eastAsia="sl-SI"/>
              </w:rPr>
              <w:t>V primeru, da vložnik navede, da bo izvajal prejem trošarinskih izdelkov na lokaciji neposredne dobave mora v skladu s 27. členom ZTro-1 predložiti vlogo za odobritev neposredne dobave</w:t>
            </w:r>
            <w:r w:rsidR="00692BE6">
              <w:rPr>
                <w:rFonts w:asciiTheme="minorHAnsi" w:hAnsiTheme="minorHAnsi" w:cs="Calibri"/>
                <w:bCs/>
                <w:i/>
                <w:iCs/>
                <w:color w:val="000000"/>
                <w:sz w:val="18"/>
                <w:szCs w:val="18"/>
                <w:lang w:eastAsia="sl-SI"/>
              </w:rPr>
              <w:t>,</w:t>
            </w:r>
            <w:r w:rsidRPr="0042474A">
              <w:rPr>
                <w:rFonts w:asciiTheme="minorHAnsi" w:hAnsiTheme="minorHAnsi" w:cs="Calibri"/>
                <w:bCs/>
                <w:i/>
                <w:iCs/>
                <w:color w:val="000000"/>
                <w:sz w:val="18"/>
                <w:szCs w:val="18"/>
                <w:lang w:eastAsia="sl-SI"/>
              </w:rPr>
              <w:t xml:space="preserve"> v kateri navede seznam lokacij neposrednih dobav.</w:t>
            </w:r>
          </w:p>
        </w:tc>
      </w:tr>
      <w:tr w:rsidR="0002136C" w:rsidRPr="0042474A" w:rsidTr="00097A5B">
        <w:trPr>
          <w:trHeight w:val="268"/>
        </w:trPr>
        <w:tc>
          <w:tcPr>
            <w:tcW w:w="3412" w:type="dxa"/>
            <w:tcBorders>
              <w:top w:val="nil"/>
              <w:left w:val="single" w:sz="8" w:space="0" w:color="auto"/>
              <w:bottom w:val="single" w:sz="8" w:space="0" w:color="auto"/>
              <w:right w:val="single" w:sz="8" w:space="0" w:color="auto"/>
            </w:tcBorders>
            <w:vAlign w:val="center"/>
          </w:tcPr>
          <w:p w:rsidR="0002136C" w:rsidRPr="0042474A" w:rsidRDefault="0002136C" w:rsidP="00097A5B">
            <w:pPr>
              <w:spacing w:after="0"/>
              <w:rPr>
                <w:rFonts w:asciiTheme="minorHAnsi" w:hAnsiTheme="minorHAnsi" w:cs="Calibri"/>
                <w:b/>
                <w:bCs/>
                <w:color w:val="000000"/>
                <w:sz w:val="18"/>
                <w:szCs w:val="18"/>
                <w:lang w:eastAsia="sl-SI"/>
              </w:rPr>
            </w:pPr>
            <w:r w:rsidRPr="0042474A">
              <w:rPr>
                <w:rFonts w:asciiTheme="minorHAnsi" w:hAnsiTheme="minorHAnsi" w:cs="Calibri"/>
                <w:b/>
                <w:bCs/>
                <w:color w:val="000000"/>
                <w:sz w:val="18"/>
                <w:szCs w:val="18"/>
                <w:lang w:eastAsia="sl-SI"/>
              </w:rPr>
              <w:t>3. Knjigovodstvo trošarinskega zavezanca</w:t>
            </w:r>
          </w:p>
        </w:tc>
        <w:tc>
          <w:tcPr>
            <w:tcW w:w="7260" w:type="dxa"/>
            <w:tcBorders>
              <w:top w:val="nil"/>
              <w:left w:val="single" w:sz="8" w:space="0" w:color="auto"/>
              <w:bottom w:val="single" w:sz="8" w:space="0" w:color="000000"/>
              <w:right w:val="single" w:sz="8" w:space="0" w:color="auto"/>
            </w:tcBorders>
            <w:vAlign w:val="center"/>
          </w:tcPr>
          <w:p w:rsidR="0002136C" w:rsidRPr="0042474A" w:rsidRDefault="0002136C" w:rsidP="00097A5B">
            <w:pPr>
              <w:spacing w:after="0"/>
              <w:rPr>
                <w:rFonts w:asciiTheme="minorHAnsi" w:hAnsiTheme="minorHAnsi" w:cs="Calibri"/>
                <w:bCs/>
                <w:i/>
                <w:iCs/>
                <w:color w:val="000000"/>
                <w:sz w:val="18"/>
                <w:szCs w:val="18"/>
                <w:lang w:eastAsia="sl-SI"/>
              </w:rPr>
            </w:pPr>
          </w:p>
        </w:tc>
      </w:tr>
      <w:tr w:rsidR="0002136C" w:rsidRPr="0042474A" w:rsidTr="00097A5B">
        <w:trPr>
          <w:trHeight w:val="268"/>
        </w:trPr>
        <w:tc>
          <w:tcPr>
            <w:tcW w:w="3412" w:type="dxa"/>
            <w:tcBorders>
              <w:top w:val="nil"/>
              <w:left w:val="single" w:sz="8" w:space="0" w:color="auto"/>
              <w:bottom w:val="single" w:sz="8" w:space="0" w:color="auto"/>
              <w:right w:val="single" w:sz="8" w:space="0" w:color="auto"/>
            </w:tcBorders>
            <w:vAlign w:val="center"/>
          </w:tcPr>
          <w:p w:rsidR="0002136C" w:rsidRPr="0042474A" w:rsidRDefault="0002136C" w:rsidP="00097A5B">
            <w:pPr>
              <w:spacing w:after="0"/>
              <w:rPr>
                <w:rFonts w:asciiTheme="minorHAnsi" w:hAnsiTheme="minorHAnsi" w:cs="Calibri"/>
                <w:bCs/>
                <w:color w:val="000000"/>
                <w:sz w:val="18"/>
                <w:szCs w:val="18"/>
                <w:lang w:eastAsia="sl-SI"/>
              </w:rPr>
            </w:pPr>
            <w:r w:rsidRPr="0042474A">
              <w:rPr>
                <w:rFonts w:asciiTheme="minorHAnsi" w:hAnsiTheme="minorHAnsi" w:cs="Calibri"/>
                <w:bCs/>
                <w:color w:val="000000"/>
                <w:sz w:val="18"/>
                <w:szCs w:val="18"/>
                <w:lang w:eastAsia="sl-SI"/>
              </w:rPr>
              <w:t>Opis delovanja računovodskega sistema</w:t>
            </w:r>
          </w:p>
        </w:tc>
        <w:tc>
          <w:tcPr>
            <w:tcW w:w="7260" w:type="dxa"/>
            <w:tcBorders>
              <w:top w:val="nil"/>
              <w:left w:val="single" w:sz="8" w:space="0" w:color="auto"/>
              <w:bottom w:val="single" w:sz="8" w:space="0" w:color="000000"/>
              <w:right w:val="single" w:sz="8" w:space="0" w:color="auto"/>
            </w:tcBorders>
            <w:vAlign w:val="center"/>
          </w:tcPr>
          <w:p w:rsidR="0002136C" w:rsidRPr="0042474A" w:rsidRDefault="0002136C" w:rsidP="00097A5B">
            <w:pPr>
              <w:spacing w:after="0"/>
              <w:rPr>
                <w:rFonts w:asciiTheme="minorHAnsi" w:hAnsiTheme="minorHAnsi" w:cs="Calibri"/>
                <w:bCs/>
                <w:i/>
                <w:iCs/>
                <w:color w:val="000000"/>
                <w:sz w:val="18"/>
                <w:szCs w:val="18"/>
                <w:lang w:eastAsia="sl-SI"/>
              </w:rPr>
            </w:pPr>
            <w:r w:rsidRPr="0042474A">
              <w:rPr>
                <w:rFonts w:asciiTheme="minorHAnsi" w:hAnsiTheme="minorHAnsi" w:cs="Calibri"/>
                <w:bCs/>
                <w:i/>
                <w:iCs/>
                <w:color w:val="000000"/>
                <w:sz w:val="18"/>
                <w:szCs w:val="18"/>
                <w:lang w:eastAsia="sl-SI"/>
              </w:rPr>
              <w:t>Vpiše se kraj, kjer se nahaja računovodska evidenca in njen način vodenja ter način vodenja evidence trošarinskih izdelkov.</w:t>
            </w:r>
          </w:p>
        </w:tc>
      </w:tr>
      <w:tr w:rsidR="0002136C" w:rsidRPr="0042474A" w:rsidTr="00097A5B">
        <w:trPr>
          <w:trHeight w:val="268"/>
        </w:trPr>
        <w:tc>
          <w:tcPr>
            <w:tcW w:w="3412" w:type="dxa"/>
            <w:tcBorders>
              <w:top w:val="nil"/>
              <w:left w:val="single" w:sz="8" w:space="0" w:color="auto"/>
              <w:bottom w:val="single" w:sz="4" w:space="0" w:color="auto"/>
              <w:right w:val="single" w:sz="8" w:space="0" w:color="auto"/>
            </w:tcBorders>
            <w:vAlign w:val="center"/>
          </w:tcPr>
          <w:p w:rsidR="0002136C" w:rsidRPr="0042474A" w:rsidRDefault="0002136C" w:rsidP="00097A5B">
            <w:pPr>
              <w:spacing w:after="0"/>
              <w:rPr>
                <w:rFonts w:asciiTheme="minorHAnsi" w:hAnsiTheme="minorHAnsi" w:cs="Calibri"/>
                <w:bCs/>
                <w:color w:val="000000"/>
                <w:sz w:val="18"/>
                <w:szCs w:val="18"/>
                <w:lang w:eastAsia="sl-SI"/>
              </w:rPr>
            </w:pPr>
            <w:r w:rsidRPr="0042474A">
              <w:rPr>
                <w:rFonts w:asciiTheme="minorHAnsi" w:hAnsiTheme="minorHAnsi" w:cs="Calibri"/>
                <w:bCs/>
                <w:color w:val="000000"/>
                <w:sz w:val="18"/>
                <w:szCs w:val="18"/>
                <w:lang w:eastAsia="sl-SI"/>
              </w:rPr>
              <w:t>Zagotavljam elektronsko izmenjavo podatkov, ki zadevajo gibanje trošarinskih izdelkov</w:t>
            </w:r>
          </w:p>
        </w:tc>
        <w:tc>
          <w:tcPr>
            <w:tcW w:w="7260" w:type="dxa"/>
            <w:tcBorders>
              <w:top w:val="nil"/>
              <w:left w:val="single" w:sz="8" w:space="0" w:color="auto"/>
              <w:bottom w:val="single" w:sz="4" w:space="0" w:color="auto"/>
              <w:right w:val="single" w:sz="8" w:space="0" w:color="auto"/>
            </w:tcBorders>
            <w:vAlign w:val="center"/>
          </w:tcPr>
          <w:p w:rsidR="0002136C" w:rsidRPr="0042474A" w:rsidRDefault="0002136C" w:rsidP="00097A5B">
            <w:pPr>
              <w:spacing w:after="0"/>
              <w:jc w:val="both"/>
              <w:rPr>
                <w:rFonts w:asciiTheme="minorHAnsi" w:hAnsiTheme="minorHAnsi" w:cs="Calibri"/>
                <w:bCs/>
                <w:i/>
                <w:iCs/>
                <w:color w:val="000000"/>
                <w:sz w:val="18"/>
                <w:szCs w:val="18"/>
                <w:lang w:eastAsia="sl-SI"/>
              </w:rPr>
            </w:pPr>
            <w:r w:rsidRPr="0042474A">
              <w:rPr>
                <w:rFonts w:asciiTheme="minorHAnsi" w:hAnsiTheme="minorHAnsi" w:cs="Calibri"/>
                <w:bCs/>
                <w:i/>
                <w:iCs/>
                <w:color w:val="000000"/>
                <w:sz w:val="18"/>
                <w:szCs w:val="18"/>
                <w:lang w:eastAsia="sl-SI"/>
              </w:rPr>
              <w:t>Vložnik mora urediti dostop do informacijskega sistema (EMCS)</w:t>
            </w:r>
            <w:r w:rsidR="00692BE6">
              <w:rPr>
                <w:rFonts w:asciiTheme="minorHAnsi" w:hAnsiTheme="minorHAnsi" w:cs="Calibri"/>
                <w:bCs/>
                <w:i/>
                <w:iCs/>
                <w:color w:val="000000"/>
                <w:sz w:val="18"/>
                <w:szCs w:val="18"/>
                <w:lang w:eastAsia="sl-SI"/>
              </w:rPr>
              <w:t>,</w:t>
            </w:r>
            <w:bookmarkStart w:id="0" w:name="_GoBack"/>
            <w:bookmarkEnd w:id="0"/>
            <w:r w:rsidRPr="0042474A">
              <w:rPr>
                <w:rFonts w:asciiTheme="minorHAnsi" w:hAnsiTheme="minorHAnsi" w:cs="Calibri"/>
                <w:bCs/>
                <w:i/>
                <w:iCs/>
                <w:color w:val="000000"/>
                <w:sz w:val="18"/>
                <w:szCs w:val="18"/>
                <w:lang w:eastAsia="sl-SI"/>
              </w:rPr>
              <w:t xml:space="preserve"> s katerim se spremlja in nadzira gibanje trošarinskih izdelkov v režimu odloga med državami članicami. EMCS deluje v portalu e-CARINA. Za dostop do slednjega se je potrebno prijaviti v podsistem EPOS. Podjetje, ki v podsistemu EPOS še nima prijavljenih digitalnih potrdil za osebe, ki smejo v njegovem imenu uporabljati posamezno aplikacijo, mora predhodno določiti osebo (pooblaščenca), ki bo s strani podjetja pooblaščena za prijavljanje digitalnih potrdil v EPOS, in sicer za osebe, ki smejo v imenu podjetja vstopati v portal e-Carina in uporabljati aplikacije. Ta oseba se v sistemu e-Carina FURS pooblasti tako, da se izpolni </w:t>
            </w:r>
            <w:hyperlink r:id="rId6" w:tooltip="datoteka D O C" w:history="1">
              <w:r w:rsidRPr="0042474A">
                <w:rPr>
                  <w:rStyle w:val="Hiperpovezava"/>
                  <w:rFonts w:asciiTheme="minorHAnsi" w:hAnsiTheme="minorHAnsi" w:cs="Calibri"/>
                  <w:bCs/>
                  <w:i/>
                  <w:iCs/>
                  <w:sz w:val="18"/>
                  <w:szCs w:val="18"/>
                  <w:lang w:eastAsia="sl-SI"/>
                </w:rPr>
                <w:t> obrazec pooblastila za dodelitev in preklic vlog v podsistemu EPOS (e-Carina)</w:t>
              </w:r>
            </w:hyperlink>
            <w:r w:rsidRPr="0042474A">
              <w:rPr>
                <w:rFonts w:asciiTheme="minorHAnsi" w:hAnsiTheme="minorHAnsi" w:cs="Calibri"/>
                <w:bCs/>
                <w:i/>
                <w:iCs/>
                <w:color w:val="000000"/>
                <w:sz w:val="18"/>
                <w:szCs w:val="18"/>
                <w:lang w:eastAsia="sl-SI"/>
              </w:rPr>
              <w:t xml:space="preserve">. Pravilno izpolnjeno in s strani upravičene osebe podpisano pooblastilo se pošlje na naslov: Generalni finančni urad, Šmartinska cesta 55, 1000 Ljubljana. Po prijavi potrdila v podsistem EPOS prejme podjetje geslo po elektronski pošti z naslova </w:t>
            </w:r>
            <w:hyperlink r:id="rId7" w:history="1">
              <w:r w:rsidRPr="0042474A">
                <w:rPr>
                  <w:rStyle w:val="Hiperpovezava"/>
                  <w:rFonts w:asciiTheme="minorHAnsi" w:hAnsiTheme="minorHAnsi" w:cs="Calibri"/>
                  <w:bCs/>
                  <w:i/>
                  <w:iCs/>
                  <w:sz w:val="18"/>
                  <w:szCs w:val="18"/>
                  <w:lang w:eastAsia="sl-SI"/>
                </w:rPr>
                <w:t>edi.carina@gov.si</w:t>
              </w:r>
            </w:hyperlink>
            <w:r w:rsidRPr="0042474A">
              <w:rPr>
                <w:rFonts w:asciiTheme="minorHAnsi" w:hAnsiTheme="minorHAnsi" w:cs="Calibri"/>
                <w:bCs/>
                <w:i/>
                <w:iCs/>
                <w:color w:val="000000"/>
                <w:sz w:val="18"/>
                <w:szCs w:val="18"/>
                <w:lang w:eastAsia="sl-SI"/>
              </w:rPr>
              <w:t>. Nato mora podjetje izvesti postopek nastavitve pooblastil na zunanjem portalu za posamično aplikacijo za zunanje uporabnike.</w:t>
            </w:r>
          </w:p>
        </w:tc>
      </w:tr>
      <w:tr w:rsidR="0002136C" w:rsidRPr="0042474A" w:rsidTr="00097A5B">
        <w:trPr>
          <w:trHeight w:val="268"/>
        </w:trPr>
        <w:tc>
          <w:tcPr>
            <w:tcW w:w="3412" w:type="dxa"/>
            <w:tcBorders>
              <w:top w:val="single" w:sz="4" w:space="0" w:color="auto"/>
              <w:left w:val="single" w:sz="8" w:space="0" w:color="auto"/>
              <w:bottom w:val="single" w:sz="4" w:space="0" w:color="auto"/>
              <w:right w:val="single" w:sz="8" w:space="0" w:color="auto"/>
            </w:tcBorders>
            <w:vAlign w:val="center"/>
          </w:tcPr>
          <w:p w:rsidR="0002136C" w:rsidRPr="0042474A" w:rsidRDefault="0002136C" w:rsidP="00097A5B">
            <w:pPr>
              <w:spacing w:after="0"/>
              <w:rPr>
                <w:rFonts w:asciiTheme="minorHAnsi" w:hAnsiTheme="minorHAnsi" w:cs="Calibri"/>
                <w:bCs/>
                <w:color w:val="000000"/>
                <w:sz w:val="18"/>
                <w:szCs w:val="18"/>
                <w:lang w:eastAsia="sl-SI"/>
              </w:rPr>
            </w:pPr>
            <w:r w:rsidRPr="0042474A">
              <w:rPr>
                <w:rFonts w:asciiTheme="minorHAnsi" w:hAnsiTheme="minorHAnsi" w:cs="Calibri"/>
                <w:bCs/>
                <w:color w:val="000000"/>
                <w:sz w:val="18"/>
                <w:szCs w:val="18"/>
                <w:lang w:eastAsia="sl-SI"/>
              </w:rPr>
              <w:t>Instrument zavarovanja predložen dne</w:t>
            </w:r>
          </w:p>
        </w:tc>
        <w:tc>
          <w:tcPr>
            <w:tcW w:w="7260" w:type="dxa"/>
            <w:tcBorders>
              <w:top w:val="single" w:sz="4" w:space="0" w:color="auto"/>
              <w:left w:val="single" w:sz="8" w:space="0" w:color="auto"/>
              <w:bottom w:val="single" w:sz="4" w:space="0" w:color="auto"/>
              <w:right w:val="single" w:sz="8" w:space="0" w:color="auto"/>
            </w:tcBorders>
            <w:vAlign w:val="center"/>
          </w:tcPr>
          <w:p w:rsidR="0002136C" w:rsidRPr="0042474A" w:rsidRDefault="0002136C" w:rsidP="00097A5B">
            <w:pPr>
              <w:spacing w:after="0"/>
              <w:jc w:val="both"/>
              <w:rPr>
                <w:rFonts w:asciiTheme="minorHAnsi" w:hAnsiTheme="minorHAnsi" w:cs="Calibri"/>
                <w:bCs/>
                <w:i/>
                <w:iCs/>
                <w:color w:val="000000"/>
                <w:sz w:val="18"/>
                <w:szCs w:val="18"/>
                <w:lang w:eastAsia="sl-SI"/>
              </w:rPr>
            </w:pPr>
            <w:r w:rsidRPr="0042474A">
              <w:rPr>
                <w:rFonts w:asciiTheme="minorHAnsi" w:hAnsiTheme="minorHAnsi" w:cs="Calibri"/>
                <w:bCs/>
                <w:i/>
                <w:iCs/>
                <w:color w:val="000000"/>
                <w:sz w:val="18"/>
                <w:szCs w:val="18"/>
                <w:lang w:eastAsia="sl-SI"/>
              </w:rPr>
              <w:t>Izpolni davčni organ. Po predložitvi instrumenta zavarovanja se vloga šteje za popolno.</w:t>
            </w:r>
          </w:p>
        </w:tc>
      </w:tr>
    </w:tbl>
    <w:p w:rsidR="0002136C" w:rsidRPr="009447DE" w:rsidRDefault="0002136C" w:rsidP="0002136C">
      <w:pPr>
        <w:rPr>
          <w:rFonts w:asciiTheme="minorHAnsi" w:hAnsiTheme="minorHAnsi" w:cs="Calibri"/>
          <w:sz w:val="20"/>
          <w:szCs w:val="20"/>
          <w:lang w:eastAsia="sl-SI"/>
        </w:rPr>
      </w:pPr>
    </w:p>
    <w:p w:rsidR="001D12C8" w:rsidRDefault="001D12C8"/>
    <w:sectPr w:rsidR="001D12C8" w:rsidSect="00FA6916">
      <w:headerReference w:type="default" r:id="rId8"/>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77E" w:rsidRDefault="001B677E">
      <w:pPr>
        <w:spacing w:after="0" w:line="240" w:lineRule="auto"/>
      </w:pPr>
      <w:r>
        <w:separator/>
      </w:r>
    </w:p>
  </w:endnote>
  <w:endnote w:type="continuationSeparator" w:id="0">
    <w:p w:rsidR="001B677E" w:rsidRDefault="001B6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77E" w:rsidRDefault="001B677E">
      <w:pPr>
        <w:spacing w:after="0" w:line="240" w:lineRule="auto"/>
      </w:pPr>
      <w:r>
        <w:separator/>
      </w:r>
    </w:p>
  </w:footnote>
  <w:footnote w:type="continuationSeparator" w:id="0">
    <w:p w:rsidR="001B677E" w:rsidRDefault="001B6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49" w:rsidRDefault="00F4196D" w:rsidP="00DF766C">
    <w:pPr>
      <w:pStyle w:val="Glava"/>
      <w:tabs>
        <w:tab w:val="center" w:pos="8364"/>
      </w:tabs>
      <w:jc w:val="center"/>
    </w:pPr>
    <w:r>
      <w:rPr>
        <w:sz w:val="20"/>
        <w:szCs w:val="20"/>
      </w:rPr>
      <w:t xml:space="preserve">Obrazec </w:t>
    </w:r>
    <w:r w:rsidR="0002136C" w:rsidRPr="003161DB">
      <w:rPr>
        <w:sz w:val="20"/>
        <w:szCs w:val="20"/>
      </w:rPr>
      <w:t>TRO</w:t>
    </w:r>
    <w:r w:rsidR="0002136C">
      <w:rPr>
        <w:sz w:val="20"/>
        <w:szCs w:val="20"/>
      </w:rPr>
      <w:t>V – PP</w:t>
    </w:r>
    <w:r w:rsidR="0002136C">
      <w:tab/>
    </w:r>
    <w:r w:rsidR="0002136C">
      <w:tab/>
    </w:r>
    <w:r w:rsidR="00DF766C">
      <w:t xml:space="preserve">             </w:t>
    </w:r>
    <w:r w:rsidR="00DF766C">
      <w:tab/>
    </w:r>
    <w:r w:rsidR="00DF766C">
      <w:rPr>
        <w:noProof/>
        <w:lang w:eastAsia="sl-SI"/>
      </w:rPr>
      <w:drawing>
        <wp:inline distT="0" distB="0" distL="0" distR="0" wp14:anchorId="709B1F87">
          <wp:extent cx="1036320" cy="377825"/>
          <wp:effectExtent l="0" t="0" r="0" b="31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377825"/>
                  </a:xfrm>
                  <a:prstGeom prst="rect">
                    <a:avLst/>
                  </a:prstGeom>
                  <a:noFill/>
                </pic:spPr>
              </pic:pic>
            </a:graphicData>
          </a:graphic>
        </wp:inline>
      </w:drawing>
    </w:r>
  </w:p>
  <w:p w:rsidR="00DF766C" w:rsidRDefault="00DF766C" w:rsidP="00DF766C">
    <w:pPr>
      <w:pStyle w:val="Glava"/>
      <w:tabs>
        <w:tab w:val="center" w:pos="8364"/>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6/h++QiBuG6/5Lm5g7pls0slGWOK5fPE5qYBDpIDV5cYMrjhzpAt3qRpuaOR4o0PWvRDvlnxkXtvHCiO0haWOA==" w:salt="c9EvoG0rieCIpR2lGS3E2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6C"/>
    <w:rsid w:val="0002136C"/>
    <w:rsid w:val="001B677E"/>
    <w:rsid w:val="001D12C8"/>
    <w:rsid w:val="003D24CA"/>
    <w:rsid w:val="004F3823"/>
    <w:rsid w:val="00692BE6"/>
    <w:rsid w:val="009236CC"/>
    <w:rsid w:val="009D592B"/>
    <w:rsid w:val="00AB5978"/>
    <w:rsid w:val="00DF766C"/>
    <w:rsid w:val="00F419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C14813B-E75E-457E-A563-2D4BF13A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2136C"/>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02136C"/>
    <w:pPr>
      <w:tabs>
        <w:tab w:val="center" w:pos="4536"/>
        <w:tab w:val="right" w:pos="9072"/>
      </w:tabs>
      <w:spacing w:after="0" w:line="240" w:lineRule="auto"/>
    </w:pPr>
  </w:style>
  <w:style w:type="character" w:customStyle="1" w:styleId="GlavaZnak">
    <w:name w:val="Glava Znak"/>
    <w:basedOn w:val="Privzetapisavaodstavka"/>
    <w:link w:val="Glava"/>
    <w:uiPriority w:val="99"/>
    <w:rsid w:val="0002136C"/>
    <w:rPr>
      <w:rFonts w:ascii="Calibri" w:eastAsia="Calibri" w:hAnsi="Calibri" w:cs="Times New Roman"/>
    </w:rPr>
  </w:style>
  <w:style w:type="character" w:styleId="Hiperpovezava">
    <w:name w:val="Hyperlink"/>
    <w:basedOn w:val="Privzetapisavaodstavka"/>
    <w:uiPriority w:val="99"/>
    <w:unhideWhenUsed/>
    <w:rsid w:val="0002136C"/>
    <w:rPr>
      <w:color w:val="0563C1" w:themeColor="hyperlink"/>
      <w:u w:val="single"/>
    </w:rPr>
  </w:style>
  <w:style w:type="paragraph" w:styleId="Noga">
    <w:name w:val="footer"/>
    <w:basedOn w:val="Navaden"/>
    <w:link w:val="NogaZnak"/>
    <w:uiPriority w:val="99"/>
    <w:unhideWhenUsed/>
    <w:rsid w:val="004F3823"/>
    <w:pPr>
      <w:tabs>
        <w:tab w:val="center" w:pos="4536"/>
        <w:tab w:val="right" w:pos="9072"/>
      </w:tabs>
      <w:spacing w:after="0" w:line="240" w:lineRule="auto"/>
    </w:pPr>
  </w:style>
  <w:style w:type="character" w:customStyle="1" w:styleId="NogaZnak">
    <w:name w:val="Noga Znak"/>
    <w:basedOn w:val="Privzetapisavaodstavka"/>
    <w:link w:val="Noga"/>
    <w:uiPriority w:val="99"/>
    <w:rsid w:val="004F3823"/>
    <w:rPr>
      <w:rFonts w:ascii="Calibri" w:eastAsia="Calibri" w:hAnsi="Calibri" w:cs="Times New Roman"/>
    </w:rPr>
  </w:style>
  <w:style w:type="paragraph" w:styleId="Besedilooblaka">
    <w:name w:val="Balloon Text"/>
    <w:basedOn w:val="Navaden"/>
    <w:link w:val="BesedilooblakaZnak"/>
    <w:uiPriority w:val="99"/>
    <w:semiHidden/>
    <w:unhideWhenUsed/>
    <w:rsid w:val="00DF766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F766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di.carina@gov.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gov.si/fileadmin/Internet/Carina/Poslovanje_z_nami/e_Carina/Obrazci/Pooblastilo_Obrazec_za_dodelitev_in_preklic_vlog_v_podsistemu_EPOS_eCarina.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653</Words>
  <Characters>3728</Characters>
  <Application>Microsoft Office Word</Application>
  <DocSecurity>8</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Miljević</dc:creator>
  <cp:keywords/>
  <dc:description/>
  <cp:lastModifiedBy>Vanja Bart-Rozman</cp:lastModifiedBy>
  <cp:revision>8</cp:revision>
  <cp:lastPrinted>2017-04-12T10:39:00Z</cp:lastPrinted>
  <dcterms:created xsi:type="dcterms:W3CDTF">2017-01-16T12:14:00Z</dcterms:created>
  <dcterms:modified xsi:type="dcterms:W3CDTF">2017-06-07T07:52:00Z</dcterms:modified>
</cp:coreProperties>
</file>