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F59" w:rsidRDefault="00D50F59" w:rsidP="00E60BC1">
      <w:pPr>
        <w:spacing w:after="0" w:line="276" w:lineRule="auto"/>
        <w:jc w:val="center"/>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Navodilo za izpolnjevanje obrazca</w:t>
      </w:r>
    </w:p>
    <w:p w:rsidR="00E60BC1" w:rsidRPr="00E60BC1" w:rsidRDefault="00E60BC1" w:rsidP="00E60BC1">
      <w:pPr>
        <w:spacing w:after="0" w:line="276" w:lineRule="auto"/>
        <w:jc w:val="center"/>
        <w:rPr>
          <w:rFonts w:ascii="Calibri" w:eastAsia="Calibri" w:hAnsi="Calibri" w:cs="Calibri"/>
          <w:b/>
          <w:bCs/>
          <w:color w:val="000000"/>
          <w:sz w:val="20"/>
          <w:szCs w:val="20"/>
          <w:lang w:eastAsia="sl-SI"/>
        </w:rPr>
      </w:pPr>
    </w:p>
    <w:tbl>
      <w:tblPr>
        <w:tblW w:w="10672" w:type="dxa"/>
        <w:tblInd w:w="60" w:type="dxa"/>
        <w:tblCellMar>
          <w:left w:w="70" w:type="dxa"/>
          <w:right w:w="70" w:type="dxa"/>
        </w:tblCellMar>
        <w:tblLook w:val="00A0" w:firstRow="1" w:lastRow="0" w:firstColumn="1" w:lastColumn="0" w:noHBand="0" w:noVBand="0"/>
      </w:tblPr>
      <w:tblGrid>
        <w:gridCol w:w="4493"/>
        <w:gridCol w:w="6179"/>
      </w:tblGrid>
      <w:tr w:rsidR="00D50F59" w:rsidRPr="00D50F59"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Vloga za spremembo dovoljenja</w:t>
            </w:r>
          </w:p>
        </w:tc>
        <w:tc>
          <w:tcPr>
            <w:tcW w:w="6179" w:type="dxa"/>
            <w:tcBorders>
              <w:top w:val="single" w:sz="8" w:space="0" w:color="auto"/>
              <w:left w:val="nil"/>
              <w:bottom w:val="single" w:sz="8" w:space="0" w:color="auto"/>
              <w:right w:val="single" w:sz="8" w:space="0" w:color="auto"/>
            </w:tcBorders>
            <w:vAlign w:val="center"/>
          </w:tcPr>
          <w:p w:rsidR="00D50F59" w:rsidRPr="00D50F59" w:rsidRDefault="00D50F59" w:rsidP="00611B35">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 se številka dovoljenja, ki je bila s strani davčnega organa podeljena pri izdaji dovoljenja. Podrobnejši opis podatkov, ki se spreminjajo v dovoljenju (navedba novih podatkov in tistih, ki se črtajo) se vpiše v 4. sklop »Dodatna obrazložitev« te vloge. Vloga se v ustreznih sklopih izpolni z novim stanjem podatkov. Polje predvideno za obseg odprem trošarinskih izdelkov v režimu odloga se izpolni le, če gre za navedbo novih izdelkov.</w:t>
            </w:r>
          </w:p>
        </w:tc>
      </w:tr>
      <w:tr w:rsidR="00D50F59" w:rsidRPr="00D50F59"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1. Identifikacijski podatki</w:t>
            </w:r>
          </w:p>
        </w:tc>
        <w:tc>
          <w:tcPr>
            <w:tcW w:w="6179" w:type="dxa"/>
            <w:tcBorders>
              <w:top w:val="single" w:sz="8" w:space="0" w:color="auto"/>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ustrezni podatki.</w:t>
            </w:r>
          </w:p>
        </w:tc>
      </w:tr>
      <w:tr w:rsidR="00D50F59" w:rsidRPr="00D50F59"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rsidR="00D50F59" w:rsidRPr="00D50F59" w:rsidRDefault="00D50F59" w:rsidP="00D50F59">
            <w:pPr>
              <w:spacing w:after="0" w:line="240" w:lineRule="auto"/>
              <w:jc w:val="both"/>
              <w:rPr>
                <w:rFonts w:ascii="Calibri" w:eastAsia="Calibri" w:hAnsi="Calibri" w:cs="Calibri"/>
                <w:sz w:val="20"/>
                <w:szCs w:val="20"/>
                <w:lang w:eastAsia="sl-SI"/>
              </w:rPr>
            </w:pPr>
            <w:r w:rsidRPr="00D50F59">
              <w:rPr>
                <w:rFonts w:ascii="Calibri" w:eastAsia="Calibri" w:hAnsi="Calibri" w:cs="Calibri"/>
                <w:sz w:val="20"/>
                <w:szCs w:val="20"/>
                <w:lang w:eastAsia="sl-SI"/>
              </w:rPr>
              <w:t>Oseba, odgovorna za delovanje trošarinskega skladišča in namestnik</w:t>
            </w:r>
          </w:p>
        </w:tc>
        <w:tc>
          <w:tcPr>
            <w:tcW w:w="6179" w:type="dxa"/>
            <w:tcBorders>
              <w:top w:val="single" w:sz="8" w:space="0" w:color="auto"/>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ime, priimek in kontaktni podatki (elektronski naslov, telefonska številka).</w:t>
            </w:r>
          </w:p>
        </w:tc>
      </w:tr>
      <w:tr w:rsidR="00D50F59" w:rsidRPr="00D50F59" w:rsidTr="002F2C62">
        <w:trPr>
          <w:trHeight w:val="298"/>
        </w:trPr>
        <w:tc>
          <w:tcPr>
            <w:tcW w:w="4493" w:type="dxa"/>
            <w:tcBorders>
              <w:top w:val="single" w:sz="8" w:space="0" w:color="auto"/>
              <w:left w:val="single" w:sz="8" w:space="0" w:color="auto"/>
              <w:bottom w:val="single" w:sz="8" w:space="0" w:color="auto"/>
              <w:right w:val="single" w:sz="8" w:space="0" w:color="auto"/>
            </w:tcBorders>
            <w:vAlign w:val="center"/>
          </w:tcPr>
          <w:p w:rsidR="00D50F59" w:rsidRPr="00D50F59" w:rsidRDefault="00D50F59" w:rsidP="00D50F59">
            <w:pPr>
              <w:spacing w:after="0" w:line="240" w:lineRule="auto"/>
              <w:jc w:val="both"/>
              <w:rPr>
                <w:rFonts w:ascii="Calibri" w:eastAsia="Calibri" w:hAnsi="Calibri" w:cs="Calibri"/>
                <w:sz w:val="20"/>
                <w:szCs w:val="20"/>
                <w:lang w:eastAsia="sl-SI"/>
              </w:rPr>
            </w:pPr>
            <w:r w:rsidRPr="00D50F59">
              <w:rPr>
                <w:rFonts w:ascii="Calibri" w:eastAsia="Calibri" w:hAnsi="Calibri" w:cs="Calibri"/>
                <w:sz w:val="20"/>
                <w:szCs w:val="20"/>
                <w:lang w:eastAsia="sl-SI"/>
              </w:rPr>
              <w:t>Oseba in namestnik osebe pri pravni osebi, če je imetnik trošarinskega dovoljenja sklenil pogodbo o upravljanju trošarinskega skladišča z drugo osebo</w:t>
            </w:r>
          </w:p>
        </w:tc>
        <w:tc>
          <w:tcPr>
            <w:tcW w:w="6179" w:type="dxa"/>
            <w:tcBorders>
              <w:top w:val="single" w:sz="8" w:space="0" w:color="auto"/>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ime, priimek in kontaktni podatki (elektronski naslov, telefonska številka).</w:t>
            </w:r>
          </w:p>
        </w:tc>
      </w:tr>
      <w:tr w:rsidR="00D50F59" w:rsidRPr="00D50F59" w:rsidTr="002F2C62">
        <w:trPr>
          <w:trHeight w:val="29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40" w:lineRule="auto"/>
              <w:jc w:val="both"/>
              <w:rPr>
                <w:rFonts w:ascii="Calibri" w:eastAsia="Calibri" w:hAnsi="Calibri" w:cs="Calibri"/>
                <w:sz w:val="20"/>
                <w:szCs w:val="20"/>
                <w:lang w:eastAsia="sl-SI"/>
              </w:rPr>
            </w:pPr>
            <w:r w:rsidRPr="00D50F59">
              <w:rPr>
                <w:rFonts w:ascii="Calibri" w:eastAsia="Calibri" w:hAnsi="Calibri" w:cs="Calibri"/>
                <w:sz w:val="20"/>
                <w:szCs w:val="20"/>
                <w:lang w:eastAsia="sl-SI"/>
              </w:rPr>
              <w:t xml:space="preserve">Osebe, odgovorne za poslovanje s trošarinskimi dokumenti </w:t>
            </w:r>
          </w:p>
        </w:tc>
        <w:tc>
          <w:tcPr>
            <w:tcW w:w="6179" w:type="dxa"/>
            <w:tcBorders>
              <w:top w:val="nil"/>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Vpišejo se ime, priimek in kontaktni podatki (elektronski naslov, telefonska številka).</w:t>
            </w:r>
          </w:p>
        </w:tc>
      </w:tr>
      <w:tr w:rsidR="00D50F59" w:rsidRPr="00D50F59" w:rsidTr="002F2C62">
        <w:trPr>
          <w:trHeight w:val="29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Število in lokacije poslovnih in drugih prostorov, ki se uporabljajo za opravljanje dejavnosti</w:t>
            </w:r>
          </w:p>
        </w:tc>
        <w:tc>
          <w:tcPr>
            <w:tcW w:w="6179" w:type="dxa"/>
            <w:tcBorders>
              <w:top w:val="nil"/>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Navedejo se naslovi lokacij, ki se uporabljajo za opravljanje dejavnosti.</w:t>
            </w:r>
          </w:p>
        </w:tc>
      </w:tr>
      <w:tr w:rsidR="00D50F59" w:rsidRPr="00D50F59" w:rsidTr="002F2C62">
        <w:trPr>
          <w:trHeight w:val="29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Navedba lokacij poslovnih in drugih prostorov, ki so predvideni za trošarinsko skladišče</w:t>
            </w:r>
          </w:p>
        </w:tc>
        <w:tc>
          <w:tcPr>
            <w:tcW w:w="6179" w:type="dxa"/>
            <w:tcBorders>
              <w:top w:val="nil"/>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 xml:space="preserve">Navedejo se naslovi lokacij ter </w:t>
            </w:r>
            <w:r w:rsidR="00611B35">
              <w:rPr>
                <w:rFonts w:ascii="Calibri" w:eastAsia="Calibri" w:hAnsi="Calibri" w:cs="Calibri"/>
                <w:bCs/>
                <w:i/>
                <w:iCs/>
                <w:color w:val="000000"/>
                <w:sz w:val="20"/>
                <w:szCs w:val="20"/>
                <w:lang w:eastAsia="sl-SI"/>
              </w:rPr>
              <w:t>ali so to lastni</w:t>
            </w:r>
            <w:r w:rsidRPr="00D50F59">
              <w:rPr>
                <w:rFonts w:ascii="Calibri" w:eastAsia="Calibri" w:hAnsi="Calibri" w:cs="Calibri"/>
                <w:bCs/>
                <w:i/>
                <w:iCs/>
                <w:color w:val="000000"/>
                <w:sz w:val="20"/>
                <w:szCs w:val="20"/>
                <w:lang w:eastAsia="sl-SI"/>
              </w:rPr>
              <w:t xml:space="preserve"> ali najeti prostori. </w:t>
            </w:r>
          </w:p>
        </w:tc>
      </w:tr>
      <w:tr w:rsidR="00D50F59" w:rsidRPr="00D50F59" w:rsidTr="002F2C62">
        <w:trPr>
          <w:trHeight w:val="29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881712">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Opis dejavnosti s trošarinskimi izdelki z navedbo vrste postopkov, ki se bodo opravljali  v trošarinskem skladišču</w:t>
            </w:r>
          </w:p>
        </w:tc>
        <w:tc>
          <w:tcPr>
            <w:tcW w:w="6179" w:type="dxa"/>
            <w:tcBorders>
              <w:top w:val="nil"/>
              <w:left w:val="nil"/>
              <w:bottom w:val="single" w:sz="8" w:space="0" w:color="auto"/>
              <w:right w:val="single" w:sz="8" w:space="0" w:color="auto"/>
            </w:tcBorders>
            <w:vAlign w:val="center"/>
          </w:tcPr>
          <w:p w:rsidR="00D50F59" w:rsidRPr="00881712" w:rsidRDefault="00881712" w:rsidP="00D50F59">
            <w:pPr>
              <w:spacing w:after="0" w:line="276" w:lineRule="auto"/>
              <w:jc w:val="both"/>
              <w:rPr>
                <w:rFonts w:ascii="Calibri" w:eastAsia="Calibri" w:hAnsi="Calibri" w:cs="Calibri"/>
                <w:bCs/>
                <w:i/>
                <w:iCs/>
                <w:color w:val="000000"/>
                <w:sz w:val="20"/>
                <w:szCs w:val="20"/>
                <w:lang w:eastAsia="sl-SI"/>
              </w:rPr>
            </w:pPr>
            <w:r w:rsidRPr="00881712">
              <w:rPr>
                <w:rFonts w:ascii="Calibri" w:eastAsia="Calibri" w:hAnsi="Calibri" w:cs="Calibri"/>
                <w:bCs/>
                <w:i/>
                <w:color w:val="000000"/>
                <w:sz w:val="20"/>
                <w:szCs w:val="20"/>
                <w:lang w:eastAsia="sl-SI"/>
              </w:rPr>
              <w:t>Opišejo se dejavnosti, ki se bodo izvajale v trošarinskem skladišču.  (</w:t>
            </w:r>
            <w:r w:rsidRPr="00881712">
              <w:rPr>
                <w:rFonts w:ascii="Calibri" w:eastAsia="Calibri" w:hAnsi="Calibri" w:cs="Calibri"/>
                <w:bCs/>
                <w:i/>
                <w:color w:val="000000"/>
                <w:sz w:val="20"/>
                <w:szCs w:val="20"/>
                <w:lang w:eastAsia="sl-SI"/>
              </w:rPr>
              <w:t>npr. skladiščenje, proizvodnja</w:t>
            </w:r>
            <w:r w:rsidRPr="00881712">
              <w:rPr>
                <w:rFonts w:ascii="Calibri" w:eastAsia="Calibri" w:hAnsi="Calibri" w:cs="Calibri"/>
                <w:bCs/>
                <w:i/>
                <w:color w:val="000000"/>
                <w:sz w:val="20"/>
                <w:szCs w:val="20"/>
                <w:lang w:eastAsia="sl-SI"/>
              </w:rPr>
              <w:t>, …</w:t>
            </w:r>
            <w:r w:rsidRPr="00881712">
              <w:rPr>
                <w:rFonts w:ascii="Calibri" w:eastAsia="Calibri" w:hAnsi="Calibri" w:cs="Calibri"/>
                <w:bCs/>
                <w:i/>
                <w:color w:val="000000"/>
                <w:sz w:val="20"/>
                <w:szCs w:val="20"/>
                <w:lang w:eastAsia="sl-SI"/>
              </w:rPr>
              <w:t>)</w:t>
            </w:r>
            <w:r w:rsidRPr="00881712">
              <w:rPr>
                <w:rFonts w:ascii="Calibri" w:eastAsia="Calibri" w:hAnsi="Calibri" w:cs="Calibri"/>
                <w:bCs/>
                <w:i/>
                <w:color w:val="000000"/>
                <w:sz w:val="20"/>
                <w:szCs w:val="20"/>
                <w:lang w:eastAsia="sl-SI"/>
              </w:rPr>
              <w:t>.</w:t>
            </w:r>
            <w:bookmarkStart w:id="0" w:name="_GoBack"/>
            <w:bookmarkEnd w:id="0"/>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p>
        </w:tc>
      </w:tr>
      <w:tr w:rsidR="00D50F59" w:rsidRPr="00D50F59" w:rsidTr="002F2C62">
        <w:trPr>
          <w:trHeight w:val="26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2. Podatki o vrsti trošarinskih izdelkov</w:t>
            </w:r>
          </w:p>
        </w:tc>
        <w:tc>
          <w:tcPr>
            <w:tcW w:w="6179" w:type="dxa"/>
            <w:tcBorders>
              <w:top w:val="nil"/>
              <w:left w:val="single" w:sz="8" w:space="0" w:color="auto"/>
              <w:bottom w:val="single" w:sz="8" w:space="0" w:color="000000"/>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(1) se označi trošarinske izdelke, ki so predmet dovoljenja.</w:t>
            </w:r>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(2) se vpiše šestmestna kombinirana nomenklatura označenega trošarinskega izdelka, razen pri mirnem vinu, penečem vinu, drugih fermentiranih pijačah in pri energentih se vpiše osemmestna kombinirana nomenklatura in pri trdih gorivih štirimestna.</w:t>
            </w:r>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(3) se vpiše predviden obseg proizvedenih ali skladiščenih količin trošarinskih izdelkov po posameznih vrstah za obdobje 12 mesecev.</w:t>
            </w:r>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(4) se vpiše predviden obseg proizvedenih ali skladiščenih količin trošarinskih izdelkov, ki predstavljajo vhodne elemente dejavnosti s trošarinskimi izdelki, po posameznih vrstah za obdobje 12 mesecev.</w:t>
            </w:r>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(5) se vpiše predviden obseg proizvedenih ali skladiščenih količin trošarinskih izdelkov, ki predstavljajo vmesne izdelke dejavnosti s trošarinskimi izdelki, po posameznih vrstah za obdobje 12 mesecev.</w:t>
            </w:r>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stolpec (6) se vpiše predviden obseg odpreme trošarinskih izdelkov iz trošarinskega skladišča v režimu odloga za obdobje 12 mesecev.</w:t>
            </w:r>
          </w:p>
        </w:tc>
      </w:tr>
      <w:tr w:rsidR="00D50F59" w:rsidRPr="00D50F59" w:rsidTr="002F2C62">
        <w:trPr>
          <w:trHeight w:val="26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Način odpreme trošarinskih izdelkov</w:t>
            </w:r>
          </w:p>
        </w:tc>
        <w:tc>
          <w:tcPr>
            <w:tcW w:w="6179" w:type="dxa"/>
            <w:tcBorders>
              <w:top w:val="nil"/>
              <w:left w:val="single" w:sz="8" w:space="0" w:color="auto"/>
              <w:bottom w:val="single" w:sz="8" w:space="0" w:color="000000"/>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Označi se vrsta transporta; kako bo organiziran prevoz – kot lastni ali drugače; kako se prevažajo trošarinski izdelki.</w:t>
            </w:r>
          </w:p>
        </w:tc>
      </w:tr>
      <w:tr w:rsidR="00D50F59" w:rsidRPr="00D50F59" w:rsidTr="002F2C62">
        <w:trPr>
          <w:trHeight w:val="29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Prejem trošarinskih izdelkov na lokaciji neposredne dobave</w:t>
            </w:r>
          </w:p>
        </w:tc>
        <w:tc>
          <w:tcPr>
            <w:tcW w:w="6179" w:type="dxa"/>
            <w:tcBorders>
              <w:top w:val="nil"/>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 primeru, da vložnik navede, da bo izvajal prejem trošarinskih izdelkov na lokaciji neposredne dobave</w:t>
            </w:r>
            <w:r w:rsidR="000C5D35">
              <w:rPr>
                <w:rFonts w:ascii="Calibri" w:eastAsia="Calibri" w:hAnsi="Calibri" w:cs="Calibri"/>
                <w:bCs/>
                <w:i/>
                <w:iCs/>
                <w:color w:val="000000"/>
                <w:sz w:val="20"/>
                <w:szCs w:val="20"/>
                <w:lang w:eastAsia="sl-SI"/>
              </w:rPr>
              <w:t>,</w:t>
            </w:r>
            <w:r w:rsidRPr="00D50F59">
              <w:rPr>
                <w:rFonts w:ascii="Calibri" w:eastAsia="Calibri" w:hAnsi="Calibri" w:cs="Calibri"/>
                <w:bCs/>
                <w:i/>
                <w:iCs/>
                <w:color w:val="000000"/>
                <w:sz w:val="20"/>
                <w:szCs w:val="20"/>
                <w:lang w:eastAsia="sl-SI"/>
              </w:rPr>
              <w:t xml:space="preserve"> mora v skladu s 27. členom ZTro-1 predložiti vlogo za odobritev neposredne dobave</w:t>
            </w:r>
            <w:r w:rsidR="000C5D35">
              <w:rPr>
                <w:rFonts w:ascii="Calibri" w:eastAsia="Calibri" w:hAnsi="Calibri" w:cs="Calibri"/>
                <w:bCs/>
                <w:i/>
                <w:iCs/>
                <w:color w:val="000000"/>
                <w:sz w:val="20"/>
                <w:szCs w:val="20"/>
                <w:lang w:eastAsia="sl-SI"/>
              </w:rPr>
              <w:t>,</w:t>
            </w:r>
            <w:r w:rsidRPr="00D50F59">
              <w:rPr>
                <w:rFonts w:ascii="Calibri" w:eastAsia="Calibri" w:hAnsi="Calibri" w:cs="Calibri"/>
                <w:bCs/>
                <w:i/>
                <w:iCs/>
                <w:color w:val="000000"/>
                <w:sz w:val="20"/>
                <w:szCs w:val="20"/>
                <w:lang w:eastAsia="sl-SI"/>
              </w:rPr>
              <w:t xml:space="preserve"> v kateri navede seznam lokacij neposrednih dobav.</w:t>
            </w:r>
          </w:p>
        </w:tc>
      </w:tr>
      <w:tr w:rsidR="00D50F59" w:rsidRPr="00D50F59" w:rsidTr="002F2C62">
        <w:trPr>
          <w:trHeight w:val="29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Navedba podatkov o tehnični opremi, potrebni za opravljanje dejavnosti s trošarinskimi izdelki</w:t>
            </w:r>
          </w:p>
        </w:tc>
        <w:tc>
          <w:tcPr>
            <w:tcW w:w="6179" w:type="dxa"/>
            <w:tcBorders>
              <w:top w:val="nil"/>
              <w:left w:val="nil"/>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p>
        </w:tc>
      </w:tr>
      <w:tr w:rsidR="00D50F59" w:rsidRPr="00D50F59" w:rsidTr="002F2C62">
        <w:trPr>
          <w:trHeight w:val="26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
                <w:bCs/>
                <w:color w:val="000000"/>
                <w:sz w:val="20"/>
                <w:szCs w:val="20"/>
                <w:lang w:eastAsia="sl-SI"/>
              </w:rPr>
            </w:pPr>
            <w:r w:rsidRPr="00D50F59">
              <w:rPr>
                <w:rFonts w:ascii="Calibri" w:eastAsia="Calibri" w:hAnsi="Calibri" w:cs="Calibri"/>
                <w:b/>
                <w:bCs/>
                <w:color w:val="000000"/>
                <w:sz w:val="20"/>
                <w:szCs w:val="20"/>
                <w:lang w:eastAsia="sl-SI"/>
              </w:rPr>
              <w:t>3. Knjigovodstvo trošarinskega zavezanca</w:t>
            </w:r>
          </w:p>
        </w:tc>
        <w:tc>
          <w:tcPr>
            <w:tcW w:w="6179" w:type="dxa"/>
            <w:tcBorders>
              <w:top w:val="nil"/>
              <w:left w:val="single" w:sz="8" w:space="0" w:color="auto"/>
              <w:bottom w:val="single" w:sz="8" w:space="0" w:color="000000"/>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p>
        </w:tc>
      </w:tr>
      <w:tr w:rsidR="00D50F59" w:rsidRPr="00D50F59" w:rsidTr="002F2C62">
        <w:trPr>
          <w:trHeight w:val="268"/>
        </w:trPr>
        <w:tc>
          <w:tcPr>
            <w:tcW w:w="4493" w:type="dxa"/>
            <w:tcBorders>
              <w:top w:val="nil"/>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lastRenderedPageBreak/>
              <w:t>Opis delovanja računovodskega sistema</w:t>
            </w:r>
          </w:p>
        </w:tc>
        <w:tc>
          <w:tcPr>
            <w:tcW w:w="6179" w:type="dxa"/>
            <w:tcBorders>
              <w:top w:val="nil"/>
              <w:left w:val="single" w:sz="8" w:space="0" w:color="auto"/>
              <w:bottom w:val="single" w:sz="8" w:space="0" w:color="000000"/>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Vpiše se kraj, kjer se nahaja računovodska evidenca in njen način vodenja ter način vodenja evidence trošarinskih izdelkov.</w:t>
            </w:r>
          </w:p>
        </w:tc>
      </w:tr>
      <w:tr w:rsidR="00D50F59" w:rsidRPr="00D50F59" w:rsidTr="00143AAF">
        <w:trPr>
          <w:trHeight w:val="268"/>
        </w:trPr>
        <w:tc>
          <w:tcPr>
            <w:tcW w:w="4493" w:type="dxa"/>
            <w:tcBorders>
              <w:top w:val="single" w:sz="4" w:space="0" w:color="auto"/>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Navedba podatkov o listinah, iz katerih so razvidni normativi porabe posameznih vrst trošarinskih izdelkov, po vrstah proizvodnje trošarinskih izdelkov</w:t>
            </w:r>
          </w:p>
        </w:tc>
        <w:tc>
          <w:tcPr>
            <w:tcW w:w="6179" w:type="dxa"/>
            <w:tcBorders>
              <w:top w:val="single" w:sz="4" w:space="0" w:color="auto"/>
              <w:left w:val="single" w:sz="8"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p>
        </w:tc>
      </w:tr>
      <w:tr w:rsidR="00D50F59" w:rsidRPr="00D50F59" w:rsidTr="00143AAF">
        <w:trPr>
          <w:trHeight w:val="268"/>
        </w:trPr>
        <w:tc>
          <w:tcPr>
            <w:tcW w:w="4493" w:type="dxa"/>
            <w:tcBorders>
              <w:top w:val="single" w:sz="8" w:space="0" w:color="auto"/>
              <w:left w:val="single" w:sz="8" w:space="0" w:color="auto"/>
              <w:bottom w:val="single" w:sz="8" w:space="0" w:color="auto"/>
              <w:right w:val="single" w:sz="4"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 xml:space="preserve">Zagotavljam </w:t>
            </w:r>
            <w:r w:rsidR="00143AAF">
              <w:rPr>
                <w:rFonts w:ascii="Calibri" w:eastAsia="Calibri" w:hAnsi="Calibri" w:cs="Calibri"/>
                <w:bCs/>
                <w:color w:val="000000"/>
                <w:sz w:val="20"/>
                <w:szCs w:val="20"/>
                <w:lang w:eastAsia="sl-SI"/>
              </w:rPr>
              <w:t xml:space="preserve">elektronsko izmenjavo podatkov, </w:t>
            </w:r>
            <w:r w:rsidRPr="00D50F59">
              <w:rPr>
                <w:rFonts w:ascii="Calibri" w:eastAsia="Calibri" w:hAnsi="Calibri" w:cs="Calibri"/>
                <w:bCs/>
                <w:color w:val="000000"/>
                <w:sz w:val="20"/>
                <w:szCs w:val="20"/>
                <w:lang w:eastAsia="sl-SI"/>
              </w:rPr>
              <w:t>ki zadevajo gibanje trošarinskih izdelkov</w:t>
            </w:r>
          </w:p>
        </w:tc>
        <w:tc>
          <w:tcPr>
            <w:tcW w:w="6179" w:type="dxa"/>
            <w:tcBorders>
              <w:top w:val="single" w:sz="8" w:space="0" w:color="auto"/>
              <w:left w:val="single" w:sz="4" w:space="0" w:color="auto"/>
              <w:bottom w:val="single" w:sz="8" w:space="0" w:color="auto"/>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Ta pogoj ne velja za vložnika zahtevka, ki v okviru svoje dejavnosti trošarinske izdelke, ki jih prejema iz tretje države ali tretjih ozemelj  po sprostitvi v prost promet odpremlja v režimu odloga samo na ozemlje Slovenije.</w:t>
            </w:r>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 xml:space="preserve">Vložnik mora urediti dostop do informacijskega sistema (EMCS), ki je namenjen spremljanju in nadzoru gibanj trošarinskih izdelkov v režimu odloga med državami članicami. EMCS deluje v portalu e-CARINA. Za dostop do slednjega se je potrebno prijaviti v podsistem EPOS. Podjetje, ki v podsistemu EPOS še nima prijavljenih digitalnih potrdil za osebe, ki smejo v njegovem imenu uporabljati posamezno aplikacijo, mora predhodno določiti osebo (pooblaščenca), ki bo s strani podjetja pooblaščena za prijavljanje digitalnih potrdil v EPOS, in sicer za osebe, ki smejo v imenu podjetja vstopati v portal e-Carina in uporabljati aplikacije. Ta oseba se v sistemu e-Carina FURS pooblasti tako, da se izpolni </w:t>
            </w:r>
            <w:hyperlink r:id="rId6" w:tooltip="datoteka D O C" w:history="1">
              <w:r w:rsidRPr="00D50F59">
                <w:rPr>
                  <w:rFonts w:ascii="Calibri" w:eastAsia="Calibri" w:hAnsi="Calibri" w:cs="Calibri"/>
                  <w:bCs/>
                  <w:i/>
                  <w:iCs/>
                  <w:color w:val="0000FF"/>
                  <w:sz w:val="20"/>
                  <w:szCs w:val="20"/>
                  <w:u w:val="single"/>
                  <w:lang w:eastAsia="sl-SI"/>
                </w:rPr>
                <w:t> obrazec pooblastila za dodelitev in preklic vlog v podsistemu EPOS (e-Carina)</w:t>
              </w:r>
            </w:hyperlink>
            <w:r w:rsidRPr="00D50F59">
              <w:rPr>
                <w:rFonts w:ascii="Calibri" w:eastAsia="Calibri" w:hAnsi="Calibri" w:cs="Calibri"/>
                <w:bCs/>
                <w:i/>
                <w:iCs/>
                <w:color w:val="000000"/>
                <w:sz w:val="20"/>
                <w:szCs w:val="20"/>
                <w:lang w:eastAsia="sl-SI"/>
              </w:rPr>
              <w:t xml:space="preserve">. Pravilno izpolnjeno in s strani upravičene osebe podpisano pooblastilo, se pošlje na naslov: Generalni finančni urad, Šmartinska cesta 55, 1000 Ljubljana. Po prijavi potrdila v podsistem EPOS prejme podjetje geslo po elektronski pošti z naslova </w:t>
            </w:r>
            <w:hyperlink r:id="rId7" w:history="1">
              <w:r w:rsidRPr="00D50F59">
                <w:rPr>
                  <w:rFonts w:ascii="Calibri" w:eastAsia="Calibri" w:hAnsi="Calibri" w:cs="Calibri"/>
                  <w:bCs/>
                  <w:i/>
                  <w:iCs/>
                  <w:color w:val="0000FF"/>
                  <w:sz w:val="20"/>
                  <w:szCs w:val="20"/>
                  <w:u w:val="single"/>
                  <w:lang w:eastAsia="sl-SI"/>
                </w:rPr>
                <w:t>edi.carina@gov.si</w:t>
              </w:r>
            </w:hyperlink>
            <w:r w:rsidRPr="00D50F59">
              <w:rPr>
                <w:rFonts w:ascii="Calibri" w:eastAsia="Calibri" w:hAnsi="Calibri" w:cs="Calibri"/>
                <w:bCs/>
                <w:i/>
                <w:iCs/>
                <w:color w:val="000000"/>
                <w:sz w:val="20"/>
                <w:szCs w:val="20"/>
                <w:lang w:eastAsia="sl-SI"/>
              </w:rPr>
              <w:t>. Nato mora podjetje izvesti postopek nastavitve pooblastil na zunanjem portalu za posamično aplikacijo za zunanje uporabnike.</w:t>
            </w:r>
          </w:p>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p>
        </w:tc>
      </w:tr>
      <w:tr w:rsidR="00D50F59" w:rsidRPr="00D50F59" w:rsidTr="00143AAF">
        <w:trPr>
          <w:trHeight w:val="268"/>
        </w:trPr>
        <w:tc>
          <w:tcPr>
            <w:tcW w:w="4493" w:type="dxa"/>
            <w:tcBorders>
              <w:top w:val="single" w:sz="8" w:space="0" w:color="auto"/>
              <w:left w:val="single" w:sz="8" w:space="0" w:color="auto"/>
              <w:bottom w:val="single" w:sz="8" w:space="0" w:color="auto"/>
              <w:right w:val="single" w:sz="4" w:space="0" w:color="auto"/>
            </w:tcBorders>
            <w:vAlign w:val="center"/>
          </w:tcPr>
          <w:p w:rsidR="00D50F59" w:rsidRPr="00D50F59" w:rsidRDefault="00D50F59" w:rsidP="00D50F59">
            <w:pPr>
              <w:spacing w:after="0" w:line="276" w:lineRule="auto"/>
              <w:jc w:val="both"/>
              <w:rPr>
                <w:rFonts w:ascii="Calibri" w:eastAsia="Calibri" w:hAnsi="Calibri" w:cs="Calibri"/>
                <w:bCs/>
                <w:color w:val="000000"/>
                <w:sz w:val="20"/>
                <w:szCs w:val="20"/>
                <w:lang w:eastAsia="sl-SI"/>
              </w:rPr>
            </w:pPr>
            <w:r w:rsidRPr="00D50F59">
              <w:rPr>
                <w:rFonts w:ascii="Calibri" w:eastAsia="Calibri" w:hAnsi="Calibri" w:cs="Calibri"/>
                <w:bCs/>
                <w:color w:val="000000"/>
                <w:sz w:val="20"/>
                <w:szCs w:val="20"/>
                <w:lang w:eastAsia="sl-SI"/>
              </w:rPr>
              <w:t>Instrument zavarovanja predložen dne</w:t>
            </w:r>
          </w:p>
        </w:tc>
        <w:tc>
          <w:tcPr>
            <w:tcW w:w="6179" w:type="dxa"/>
            <w:tcBorders>
              <w:top w:val="single" w:sz="8" w:space="0" w:color="auto"/>
              <w:left w:val="single" w:sz="4" w:space="0" w:color="auto"/>
              <w:bottom w:val="single" w:sz="8" w:space="0" w:color="000000"/>
              <w:right w:val="single" w:sz="8" w:space="0" w:color="auto"/>
            </w:tcBorders>
            <w:vAlign w:val="center"/>
          </w:tcPr>
          <w:p w:rsidR="00D50F59" w:rsidRPr="00D50F59" w:rsidRDefault="00D50F59" w:rsidP="00D50F59">
            <w:pPr>
              <w:spacing w:after="0" w:line="276" w:lineRule="auto"/>
              <w:jc w:val="both"/>
              <w:rPr>
                <w:rFonts w:ascii="Calibri" w:eastAsia="Calibri" w:hAnsi="Calibri" w:cs="Calibri"/>
                <w:bCs/>
                <w:i/>
                <w:iCs/>
                <w:color w:val="000000"/>
                <w:sz w:val="20"/>
                <w:szCs w:val="20"/>
                <w:lang w:eastAsia="sl-SI"/>
              </w:rPr>
            </w:pPr>
            <w:r w:rsidRPr="00D50F59">
              <w:rPr>
                <w:rFonts w:ascii="Calibri" w:eastAsia="Calibri" w:hAnsi="Calibri" w:cs="Calibri"/>
                <w:bCs/>
                <w:i/>
                <w:iCs/>
                <w:color w:val="000000"/>
                <w:sz w:val="20"/>
                <w:szCs w:val="20"/>
                <w:lang w:eastAsia="sl-SI"/>
              </w:rPr>
              <w:t>Izpolni davčni organ. Po predložitvi instrumenta zavarovanja se vloga šteje za popolno.</w:t>
            </w:r>
          </w:p>
        </w:tc>
      </w:tr>
    </w:tbl>
    <w:p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rsidR="00D50F59" w:rsidRPr="00D50F59" w:rsidRDefault="00D50F59" w:rsidP="00D50F59">
      <w:pPr>
        <w:spacing w:after="200" w:line="276" w:lineRule="auto"/>
        <w:jc w:val="both"/>
        <w:rPr>
          <w:rFonts w:ascii="Calibri" w:eastAsia="Calibri" w:hAnsi="Calibri" w:cs="Calibri"/>
          <w:b/>
          <w:bCs/>
          <w:color w:val="000000"/>
          <w:sz w:val="20"/>
          <w:szCs w:val="20"/>
          <w:lang w:eastAsia="sl-SI"/>
        </w:rPr>
      </w:pPr>
    </w:p>
    <w:p w:rsidR="00D50F59" w:rsidRPr="00D50F59" w:rsidRDefault="00D50F59" w:rsidP="00D50F59">
      <w:pPr>
        <w:spacing w:after="200" w:line="276" w:lineRule="auto"/>
        <w:rPr>
          <w:rFonts w:ascii="Calibri" w:eastAsia="Calibri" w:hAnsi="Calibri" w:cs="Calibri"/>
          <w:b/>
          <w:bCs/>
          <w:color w:val="000000"/>
          <w:sz w:val="20"/>
          <w:szCs w:val="20"/>
          <w:lang w:eastAsia="sl-SI"/>
        </w:rPr>
      </w:pPr>
    </w:p>
    <w:p w:rsidR="00C75A96" w:rsidRDefault="00C75A96"/>
    <w:sectPr w:rsidR="00C75A96" w:rsidSect="000535E7">
      <w:headerReference w:type="default" r:id="rId8"/>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15" w:rsidRDefault="00E82A15">
      <w:pPr>
        <w:spacing w:after="0" w:line="240" w:lineRule="auto"/>
      </w:pPr>
      <w:r>
        <w:separator/>
      </w:r>
    </w:p>
  </w:endnote>
  <w:endnote w:type="continuationSeparator" w:id="0">
    <w:p w:rsidR="00E82A15" w:rsidRDefault="00E8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15" w:rsidRDefault="00E82A15">
      <w:pPr>
        <w:spacing w:after="0" w:line="240" w:lineRule="auto"/>
      </w:pPr>
      <w:r>
        <w:separator/>
      </w:r>
    </w:p>
  </w:footnote>
  <w:footnote w:type="continuationSeparator" w:id="0">
    <w:p w:rsidR="00E82A15" w:rsidRDefault="00E82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044" w:rsidRPr="00143AAF" w:rsidRDefault="009E0151" w:rsidP="008905C8">
    <w:pPr>
      <w:pStyle w:val="Glava"/>
      <w:tabs>
        <w:tab w:val="center" w:pos="8364"/>
      </w:tabs>
      <w:jc w:val="center"/>
      <w:rPr>
        <w:rFonts w:ascii="Arial" w:hAnsi="Arial" w:cs="Arial"/>
        <w:color w:val="006666"/>
        <w:sz w:val="12"/>
        <w:szCs w:val="8"/>
      </w:rPr>
    </w:pPr>
    <w:r>
      <w:t xml:space="preserve">Obrazec </w:t>
    </w:r>
    <w:r w:rsidR="00D50F59">
      <w:t xml:space="preserve">TROV </w:t>
    </w:r>
    <w:r w:rsidR="00143AAF">
      <w:t>–</w:t>
    </w:r>
    <w:r w:rsidR="00D50F59">
      <w:t xml:space="preserve"> TS</w:t>
    </w:r>
    <w:r w:rsidR="00D50F59">
      <w:tab/>
    </w:r>
    <w:r w:rsidR="00D50F59">
      <w:tab/>
    </w:r>
    <w:r w:rsidR="00D50F59">
      <w:tab/>
    </w:r>
    <w:r w:rsidR="008905C8">
      <w:t xml:space="preserve">             </w:t>
    </w:r>
    <w:r w:rsidR="008905C8">
      <w:rPr>
        <w:noProof/>
        <w:lang w:eastAsia="sl-SI"/>
      </w:rPr>
      <w:drawing>
        <wp:inline distT="0" distB="0" distL="0" distR="0" wp14:anchorId="300FB0E7">
          <wp:extent cx="1036320" cy="377825"/>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377825"/>
                  </a:xfrm>
                  <a:prstGeom prst="rect">
                    <a:avLst/>
                  </a:prstGeom>
                  <a:noFill/>
                </pic:spPr>
              </pic:pic>
            </a:graphicData>
          </a:graphic>
        </wp:inline>
      </w:drawing>
    </w:r>
  </w:p>
  <w:p w:rsidR="00C80044" w:rsidRDefault="0077217C" w:rsidP="00710CA9">
    <w:pPr>
      <w:pStyle w:val="Glava"/>
      <w:tabs>
        <w:tab w:val="clear" w:pos="4536"/>
        <w:tab w:val="clear" w:pos="9072"/>
        <w:tab w:val="center" w:pos="5386"/>
        <w:tab w:val="right" w:pos="107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eXokep+zbU5q4Xq2yu4tktsy4FBM3l5WoIXDrysU0ZTvJUEr1d3QwFyiFcNU0KkCKVoBH84/yUO9xxUIm3VAg==" w:salt="tpTEvv1fFQF+cs4PIFF89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59"/>
    <w:rsid w:val="000A1747"/>
    <w:rsid w:val="000C5D35"/>
    <w:rsid w:val="00142956"/>
    <w:rsid w:val="00143AAF"/>
    <w:rsid w:val="005E501D"/>
    <w:rsid w:val="00611B35"/>
    <w:rsid w:val="0077217C"/>
    <w:rsid w:val="00881712"/>
    <w:rsid w:val="008905C8"/>
    <w:rsid w:val="009E0151"/>
    <w:rsid w:val="00C75A96"/>
    <w:rsid w:val="00D50F59"/>
    <w:rsid w:val="00E60BC1"/>
    <w:rsid w:val="00E82A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B37AC3-E95E-4471-8480-3603045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50F59"/>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D50F59"/>
    <w:rPr>
      <w:rFonts w:ascii="Calibri" w:eastAsia="Calibri" w:hAnsi="Calibri" w:cs="Times New Roman"/>
    </w:rPr>
  </w:style>
  <w:style w:type="paragraph" w:styleId="Noga">
    <w:name w:val="footer"/>
    <w:basedOn w:val="Navaden"/>
    <w:link w:val="NogaZnak"/>
    <w:uiPriority w:val="99"/>
    <w:unhideWhenUsed/>
    <w:rsid w:val="00143AAF"/>
    <w:pPr>
      <w:tabs>
        <w:tab w:val="center" w:pos="4536"/>
        <w:tab w:val="right" w:pos="9072"/>
      </w:tabs>
      <w:spacing w:after="0" w:line="240" w:lineRule="auto"/>
    </w:pPr>
  </w:style>
  <w:style w:type="character" w:customStyle="1" w:styleId="NogaZnak">
    <w:name w:val="Noga Znak"/>
    <w:basedOn w:val="Privzetapisavaodstavka"/>
    <w:link w:val="Noga"/>
    <w:uiPriority w:val="99"/>
    <w:rsid w:val="00143AAF"/>
  </w:style>
  <w:style w:type="paragraph" w:styleId="Besedilooblaka">
    <w:name w:val="Balloon Text"/>
    <w:basedOn w:val="Navaden"/>
    <w:link w:val="BesedilooblakaZnak"/>
    <w:uiPriority w:val="99"/>
    <w:semiHidden/>
    <w:unhideWhenUsed/>
    <w:rsid w:val="00E60B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60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i.carina@gov.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gov.si/fileadmin/Internet/Carina/Poslovanje_z_nami/e_Carina/Obrazci/Pooblastilo_Obrazec_za_dodelitev_in_preklic_vlog_v_podsistemu_EPOS_eCarina.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820</Words>
  <Characters>4675</Characters>
  <Application>Microsoft Office Word</Application>
  <DocSecurity>8</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Miljević</dc:creator>
  <cp:keywords/>
  <dc:description/>
  <cp:lastModifiedBy>Anela Budimlič</cp:lastModifiedBy>
  <cp:revision>16</cp:revision>
  <cp:lastPrinted>2017-04-12T10:36:00Z</cp:lastPrinted>
  <dcterms:created xsi:type="dcterms:W3CDTF">2017-01-12T11:32:00Z</dcterms:created>
  <dcterms:modified xsi:type="dcterms:W3CDTF">2017-06-07T09:34:00Z</dcterms:modified>
</cp:coreProperties>
</file>