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A9B1" w14:textId="77777777" w:rsidR="00467687" w:rsidRPr="000B5EB9" w:rsidRDefault="00467687" w:rsidP="00467687">
      <w:pPr>
        <w:spacing w:line="26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99417385"/>
      <w:r w:rsidRPr="000B5EB9">
        <w:rPr>
          <w:rFonts w:ascii="Arial" w:hAnsi="Arial" w:cs="Arial"/>
          <w:b/>
          <w:bCs/>
          <w:color w:val="000000"/>
          <w:sz w:val="24"/>
          <w:szCs w:val="24"/>
        </w:rPr>
        <w:t xml:space="preserve">NAVODILA ZA IZPOLNJEVANJE UGOVORA ZOPER INFORMATIVNI IZRAČUN AKONTACIJE DOHODNINE OD DOHODKA V NARAVI V OBLIKI DELNIC ALI </w:t>
      </w:r>
      <w:r w:rsidRPr="00B403FD">
        <w:rPr>
          <w:rFonts w:ascii="Arial" w:hAnsi="Arial" w:cs="Arial"/>
          <w:b/>
          <w:bCs/>
          <w:color w:val="000000"/>
          <w:sz w:val="24"/>
          <w:szCs w:val="24"/>
        </w:rPr>
        <w:t>DELEŽEV V GOSPODARSKI DRUŽBI IZ 12. ODSTAVKA 16. ČLENA ZDOH-2</w:t>
      </w:r>
    </w:p>
    <w:p w14:paraId="0303CE49" w14:textId="17A6926A" w:rsidR="00467687" w:rsidRPr="000B5EB9" w:rsidRDefault="00467687" w:rsidP="00467687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B5EB9">
        <w:rPr>
          <w:rFonts w:ascii="Arial" w:hAnsi="Arial" w:cs="Arial"/>
          <w:color w:val="000000"/>
          <w:sz w:val="20"/>
          <w:szCs w:val="20"/>
        </w:rPr>
        <w:t xml:space="preserve">Če davčni zavezanec ugotovi, da so podatki v informativnem izračunu akontacije dohodnine nepravilni ali nepopolni, mora v 15 dneh od vročitve informativnega izračuna </w:t>
      </w:r>
      <w:r w:rsidR="00E73F32">
        <w:rPr>
          <w:rFonts w:ascii="Arial" w:hAnsi="Arial" w:cs="Arial"/>
          <w:color w:val="000000"/>
          <w:sz w:val="20"/>
          <w:szCs w:val="20"/>
        </w:rPr>
        <w:t xml:space="preserve">akontacije </w:t>
      </w:r>
      <w:bookmarkStart w:id="1" w:name="_GoBack"/>
      <w:bookmarkEnd w:id="1"/>
      <w:r w:rsidRPr="000B5EB9">
        <w:rPr>
          <w:rFonts w:ascii="Arial" w:hAnsi="Arial" w:cs="Arial"/>
          <w:color w:val="000000"/>
          <w:sz w:val="20"/>
          <w:szCs w:val="20"/>
        </w:rPr>
        <w:t>dohodnine vložiti ugovor zoper informativni izračun akontacije dohodnine (v nadaljevanju: ugovor).</w:t>
      </w:r>
    </w:p>
    <w:p w14:paraId="440D780C" w14:textId="77777777" w:rsidR="00467687" w:rsidRPr="000B5EB9" w:rsidRDefault="00467687" w:rsidP="00467687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B5EB9">
        <w:rPr>
          <w:rFonts w:ascii="Arial" w:hAnsi="Arial" w:cs="Arial"/>
          <w:color w:val="000000"/>
          <w:sz w:val="20"/>
          <w:szCs w:val="20"/>
        </w:rPr>
        <w:t>Informativni izračun akontacije dohodnine se vroča z osebno vročitvijo.</w:t>
      </w:r>
    </w:p>
    <w:p w14:paraId="53C340AC" w14:textId="77777777" w:rsidR="00467687" w:rsidRPr="000B5EB9" w:rsidRDefault="00467687" w:rsidP="00467687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B5EB9">
        <w:rPr>
          <w:rFonts w:ascii="Arial" w:hAnsi="Arial" w:cs="Arial"/>
          <w:color w:val="000000"/>
          <w:sz w:val="20"/>
          <w:szCs w:val="20"/>
        </w:rPr>
        <w:t xml:space="preserve">V kolikor davčni zavezanec v zakonskem roku vloži ugovor, ni dolžan poravnati obveznosti po informativnem izračunu akontacije dohodnine. </w:t>
      </w:r>
    </w:p>
    <w:p w14:paraId="0494EEF0" w14:textId="77777777" w:rsidR="00467687" w:rsidRPr="00C40D39" w:rsidRDefault="00467687" w:rsidP="00467687">
      <w:pPr>
        <w:pStyle w:val="Navadensplet"/>
        <w:spacing w:line="260" w:lineRule="exact"/>
        <w:rPr>
          <w:rFonts w:ascii="Arial" w:hAnsi="Arial" w:cs="Arial"/>
          <w:color w:val="000000"/>
          <w:sz w:val="20"/>
          <w:szCs w:val="20"/>
        </w:rPr>
      </w:pPr>
      <w:r w:rsidRPr="00C40D39">
        <w:rPr>
          <w:rFonts w:ascii="Arial" w:hAnsi="Arial" w:cs="Arial"/>
          <w:color w:val="000000"/>
          <w:sz w:val="20"/>
          <w:szCs w:val="20"/>
        </w:rPr>
        <w:t xml:space="preserve">Zavezanec lahko odda </w:t>
      </w:r>
      <w:r>
        <w:rPr>
          <w:rFonts w:ascii="Arial" w:hAnsi="Arial" w:cs="Arial"/>
          <w:color w:val="000000"/>
          <w:sz w:val="20"/>
          <w:szCs w:val="20"/>
        </w:rPr>
        <w:t>ugovor</w:t>
      </w:r>
      <w:r w:rsidRPr="00C40D39">
        <w:rPr>
          <w:rFonts w:ascii="Arial" w:hAnsi="Arial" w:cs="Arial"/>
          <w:color w:val="000000"/>
          <w:sz w:val="20"/>
          <w:szCs w:val="20"/>
        </w:rPr>
        <w:t>:</w:t>
      </w:r>
    </w:p>
    <w:p w14:paraId="609F289B" w14:textId="77777777" w:rsidR="00467687" w:rsidRPr="00C40D39" w:rsidRDefault="00467687" w:rsidP="00467687">
      <w:pPr>
        <w:pStyle w:val="Navadensplet"/>
        <w:numPr>
          <w:ilvl w:val="0"/>
          <w:numId w:val="2"/>
        </w:numPr>
        <w:spacing w:line="260" w:lineRule="exact"/>
        <w:rPr>
          <w:rFonts w:ascii="Arial" w:hAnsi="Arial" w:cs="Arial"/>
          <w:color w:val="000000"/>
          <w:sz w:val="20"/>
          <w:szCs w:val="20"/>
        </w:rPr>
      </w:pPr>
      <w:r w:rsidRPr="00C40D39">
        <w:rPr>
          <w:rFonts w:ascii="Arial" w:hAnsi="Arial" w:cs="Arial"/>
          <w:color w:val="000000"/>
          <w:sz w:val="20"/>
          <w:szCs w:val="20"/>
        </w:rPr>
        <w:t xml:space="preserve">elektronsko preko eDavkov, </w:t>
      </w:r>
    </w:p>
    <w:p w14:paraId="54E59DB8" w14:textId="77777777" w:rsidR="00467687" w:rsidRPr="00C40D39" w:rsidRDefault="00467687" w:rsidP="00467687">
      <w:pPr>
        <w:pStyle w:val="Navadensple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40D39">
        <w:rPr>
          <w:rFonts w:ascii="Arial" w:hAnsi="Arial" w:cs="Arial"/>
          <w:color w:val="000000"/>
          <w:sz w:val="20"/>
          <w:szCs w:val="20"/>
        </w:rPr>
        <w:t xml:space="preserve">po pošti ali osebno na finančnem uradu, kjer ima zavezanec stalno prebivališče ali pri kateremkoli finančnem uradu. </w:t>
      </w:r>
      <w:r>
        <w:rPr>
          <w:rFonts w:ascii="Arial" w:hAnsi="Arial" w:cs="Arial"/>
          <w:color w:val="000000"/>
          <w:sz w:val="20"/>
          <w:szCs w:val="20"/>
        </w:rPr>
        <w:t>Č</w:t>
      </w:r>
      <w:r w:rsidRPr="000B5EB9">
        <w:rPr>
          <w:rFonts w:ascii="Arial" w:hAnsi="Arial" w:cs="Arial"/>
          <w:color w:val="000000"/>
          <w:sz w:val="20"/>
          <w:szCs w:val="20"/>
        </w:rPr>
        <w:t>e je ugovor poslan priporočeno po pošti, dan oddaje na pošto velja za dan vložitve ugovora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0B5EB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0B5EB9">
        <w:rPr>
          <w:rFonts w:ascii="Arial" w:hAnsi="Arial" w:cs="Arial"/>
          <w:color w:val="000000"/>
          <w:sz w:val="20"/>
          <w:szCs w:val="20"/>
        </w:rPr>
        <w:t>govor,</w:t>
      </w:r>
      <w:r>
        <w:rPr>
          <w:rFonts w:ascii="Arial" w:hAnsi="Arial" w:cs="Arial"/>
          <w:color w:val="000000"/>
          <w:sz w:val="20"/>
          <w:szCs w:val="20"/>
        </w:rPr>
        <w:t xml:space="preserve"> ki je</w:t>
      </w:r>
      <w:r w:rsidRPr="000B5EB9">
        <w:rPr>
          <w:rFonts w:ascii="Arial" w:hAnsi="Arial" w:cs="Arial"/>
          <w:color w:val="000000"/>
          <w:sz w:val="20"/>
          <w:szCs w:val="20"/>
        </w:rPr>
        <w:t xml:space="preserve"> poslan z navadno pošto, pa mora k </w:t>
      </w:r>
      <w:r>
        <w:rPr>
          <w:rFonts w:ascii="Arial" w:hAnsi="Arial" w:cs="Arial"/>
          <w:color w:val="000000"/>
          <w:sz w:val="20"/>
          <w:szCs w:val="20"/>
        </w:rPr>
        <w:t xml:space="preserve">finančnemu uradu </w:t>
      </w:r>
      <w:r w:rsidRPr="000B5EB9">
        <w:rPr>
          <w:rFonts w:ascii="Arial" w:hAnsi="Arial" w:cs="Arial"/>
          <w:color w:val="000000"/>
          <w:sz w:val="20"/>
          <w:szCs w:val="20"/>
        </w:rPr>
        <w:t>prispeti najpozneje do poteka roka za vložitev ugovora.</w:t>
      </w:r>
    </w:p>
    <w:p w14:paraId="07E08CC4" w14:textId="77777777" w:rsidR="00467687" w:rsidRPr="00C40D39" w:rsidRDefault="00467687" w:rsidP="00467687">
      <w:pPr>
        <w:pStyle w:val="Navadensplet"/>
        <w:spacing w:line="260" w:lineRule="exact"/>
        <w:rPr>
          <w:rFonts w:ascii="Arial" w:hAnsi="Arial" w:cs="Arial"/>
          <w:color w:val="000000"/>
          <w:sz w:val="20"/>
          <w:szCs w:val="20"/>
        </w:rPr>
      </w:pPr>
      <w:r w:rsidRPr="00C40D39">
        <w:rPr>
          <w:rFonts w:ascii="Arial" w:hAnsi="Arial" w:cs="Arial"/>
          <w:color w:val="000000"/>
          <w:sz w:val="20"/>
          <w:szCs w:val="20"/>
        </w:rPr>
        <w:t>Priporočamo uporabo eDavkov.</w:t>
      </w:r>
    </w:p>
    <w:p w14:paraId="4C84E46A" w14:textId="77777777" w:rsidR="00467687" w:rsidRPr="000B5EB9" w:rsidRDefault="00467687" w:rsidP="00467687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B5EB9">
        <w:rPr>
          <w:rFonts w:ascii="Arial" w:hAnsi="Arial" w:cs="Arial"/>
          <w:color w:val="000000"/>
          <w:sz w:val="20"/>
          <w:szCs w:val="20"/>
        </w:rPr>
        <w:t>Davčni zavezanec v ugovoru navede svoje osebne podatke (ime, priimek in naslov), davčno številko ter datum izdaje in številko informativnega izračuna akontacije dohodnine zoper katerega vlaga ugovor.</w:t>
      </w:r>
    </w:p>
    <w:p w14:paraId="213B8C9A" w14:textId="77777777" w:rsidR="00467687" w:rsidRPr="000B5EB9" w:rsidRDefault="00467687" w:rsidP="00467687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B5EB9">
        <w:rPr>
          <w:rFonts w:ascii="Arial" w:hAnsi="Arial" w:cs="Arial"/>
          <w:color w:val="000000"/>
          <w:sz w:val="20"/>
          <w:szCs w:val="20"/>
        </w:rPr>
        <w:t xml:space="preserve">Davčni zavezanec ugovor vloži tako, da na obrazcu ugovora zoper IIAD, </w:t>
      </w:r>
      <w:r w:rsidRPr="000B5EB9">
        <w:rPr>
          <w:rFonts w:ascii="Arial" w:hAnsi="Arial" w:cs="Arial"/>
          <w:color w:val="000000"/>
          <w:sz w:val="20"/>
          <w:szCs w:val="20"/>
          <w:u w:val="single"/>
        </w:rPr>
        <w:t>obkroži številko pred ugovornim razlogom</w:t>
      </w:r>
      <w:r w:rsidRPr="000B5EB9">
        <w:rPr>
          <w:rFonts w:ascii="Arial" w:hAnsi="Arial" w:cs="Arial"/>
          <w:color w:val="000000"/>
          <w:sz w:val="20"/>
          <w:szCs w:val="20"/>
        </w:rPr>
        <w:t xml:space="preserve"> in v skladu s tem navodilom izpolni ustrezne rubrike. </w:t>
      </w:r>
    </w:p>
    <w:p w14:paraId="048DBE79" w14:textId="77777777" w:rsidR="00467687" w:rsidRPr="000B5EB9" w:rsidRDefault="00467687" w:rsidP="00467687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B5EB9">
        <w:rPr>
          <w:rFonts w:ascii="Arial" w:hAnsi="Arial" w:cs="Arial"/>
          <w:color w:val="000000"/>
          <w:sz w:val="20"/>
          <w:szCs w:val="20"/>
          <w:u w:val="single"/>
        </w:rPr>
        <w:t xml:space="preserve">Pod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1. </w:t>
      </w:r>
      <w:r w:rsidRPr="000B5EB9">
        <w:rPr>
          <w:rFonts w:ascii="Arial" w:hAnsi="Arial" w:cs="Arial"/>
          <w:color w:val="000000"/>
          <w:sz w:val="20"/>
          <w:szCs w:val="20"/>
          <w:u w:val="single"/>
        </w:rPr>
        <w:t xml:space="preserve">točko </w:t>
      </w:r>
      <w:r w:rsidRPr="000B5EB9">
        <w:rPr>
          <w:rFonts w:ascii="Arial" w:hAnsi="Arial" w:cs="Arial"/>
          <w:color w:val="000000"/>
          <w:sz w:val="20"/>
          <w:szCs w:val="20"/>
        </w:rPr>
        <w:t>se vpisuje le podatke o spremembah in dopolnitvah, ki se nanašajo na katerega izmed naslednjih razlogov:</w:t>
      </w:r>
    </w:p>
    <w:p w14:paraId="4CD0E938" w14:textId="77777777" w:rsidR="00467687" w:rsidRPr="000B5EB9" w:rsidRDefault="00467687" w:rsidP="00467687">
      <w:pPr>
        <w:pStyle w:val="Navadensple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B5EB9">
        <w:rPr>
          <w:rFonts w:ascii="Arial" w:hAnsi="Arial" w:cs="Arial"/>
          <w:color w:val="000000"/>
          <w:sz w:val="20"/>
          <w:szCs w:val="20"/>
        </w:rPr>
        <w:t>Datum izplačila dohodka – navede se pravilen datum v obliki DD.MM.LLL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58FEB34" w14:textId="77777777" w:rsidR="00467687" w:rsidRPr="000B5EB9" w:rsidRDefault="00467687" w:rsidP="00467687">
      <w:pPr>
        <w:pStyle w:val="Navadensple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B5EB9">
        <w:rPr>
          <w:rFonts w:ascii="Arial" w:hAnsi="Arial" w:cs="Arial"/>
          <w:color w:val="000000"/>
          <w:sz w:val="20"/>
          <w:szCs w:val="20"/>
        </w:rPr>
        <w:t>Obdobje izplačila dohodka – vpiše se mesec in leto, za katero je bila delnica/delež</w:t>
      </w:r>
      <w:r>
        <w:rPr>
          <w:rFonts w:ascii="Arial" w:hAnsi="Arial" w:cs="Arial"/>
          <w:color w:val="000000"/>
          <w:sz w:val="20"/>
          <w:szCs w:val="20"/>
        </w:rPr>
        <w:t xml:space="preserve"> v družbi</w:t>
      </w:r>
      <w:r w:rsidRPr="000B5EB9">
        <w:rPr>
          <w:rFonts w:ascii="Arial" w:hAnsi="Arial" w:cs="Arial"/>
          <w:color w:val="000000"/>
          <w:sz w:val="20"/>
          <w:szCs w:val="20"/>
        </w:rPr>
        <w:t xml:space="preserve"> izplačan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7D3EE5E8" w14:textId="77777777" w:rsidR="00467687" w:rsidRPr="000B5EB9" w:rsidRDefault="00467687" w:rsidP="00467687">
      <w:pPr>
        <w:pStyle w:val="Navadensple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B5EB9">
        <w:rPr>
          <w:rFonts w:ascii="Arial" w:hAnsi="Arial" w:cs="Arial"/>
          <w:color w:val="000000"/>
          <w:sz w:val="20"/>
          <w:szCs w:val="20"/>
        </w:rPr>
        <w:t>Znesek dohodka – vpiše se pravilen znesek</w:t>
      </w:r>
      <w:r>
        <w:rPr>
          <w:rFonts w:ascii="Arial" w:hAnsi="Arial" w:cs="Arial"/>
          <w:color w:val="000000"/>
          <w:sz w:val="20"/>
          <w:szCs w:val="20"/>
        </w:rPr>
        <w:t xml:space="preserve"> prejete delnice oz. deleža v družbi</w:t>
      </w:r>
      <w:r w:rsidRPr="000B5EB9">
        <w:rPr>
          <w:rFonts w:ascii="Arial" w:hAnsi="Arial" w:cs="Arial"/>
          <w:color w:val="000000"/>
          <w:sz w:val="20"/>
          <w:szCs w:val="20"/>
        </w:rPr>
        <w:t xml:space="preserve"> v EUR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106E213" w14:textId="77777777" w:rsidR="00467687" w:rsidRDefault="00467687" w:rsidP="00467687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126744">
        <w:rPr>
          <w:rFonts w:ascii="Arial" w:hAnsi="Arial" w:cs="Arial"/>
          <w:color w:val="000000"/>
          <w:sz w:val="20"/>
          <w:szCs w:val="20"/>
        </w:rPr>
        <w:t xml:space="preserve">Razlog ugovora </w:t>
      </w:r>
      <w:r w:rsidRPr="00126744">
        <w:rPr>
          <w:rFonts w:ascii="Arial" w:hAnsi="Arial" w:cs="Arial"/>
          <w:color w:val="000000"/>
          <w:sz w:val="20"/>
          <w:szCs w:val="20"/>
          <w:u w:val="single"/>
        </w:rPr>
        <w:t xml:space="preserve">pod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2. </w:t>
      </w:r>
      <w:r w:rsidRPr="00126744">
        <w:rPr>
          <w:rFonts w:ascii="Arial" w:hAnsi="Arial" w:cs="Arial"/>
          <w:color w:val="000000"/>
          <w:sz w:val="20"/>
          <w:szCs w:val="20"/>
          <w:u w:val="single"/>
        </w:rPr>
        <w:t>točko</w:t>
      </w:r>
      <w:r w:rsidRPr="00126744">
        <w:rPr>
          <w:rFonts w:ascii="Arial" w:hAnsi="Arial" w:cs="Arial"/>
          <w:color w:val="000000"/>
          <w:sz w:val="20"/>
          <w:szCs w:val="20"/>
        </w:rPr>
        <w:t xml:space="preserve"> se uporabi, ko zavezanec meni, da so bili v informativnem izračunu akontacije dohodnine upoštevani pravilni podatki, vendar pa je napačen sam izračun prispevkov za socialno varnost delojemalca oz</w:t>
      </w:r>
      <w:r>
        <w:rPr>
          <w:rFonts w:ascii="Arial" w:hAnsi="Arial" w:cs="Arial"/>
          <w:color w:val="000000"/>
          <w:sz w:val="20"/>
          <w:szCs w:val="20"/>
        </w:rPr>
        <w:t>iroma</w:t>
      </w:r>
      <w:r w:rsidRPr="00126744">
        <w:rPr>
          <w:rFonts w:ascii="Arial" w:hAnsi="Arial" w:cs="Arial"/>
          <w:color w:val="000000"/>
          <w:sz w:val="20"/>
          <w:szCs w:val="20"/>
        </w:rPr>
        <w:t xml:space="preserve"> je napačen  izračun akontacije dohodnine. V tem primeru mora davčni zavezanec navesti v katerem delu je izračun napačen.</w:t>
      </w:r>
    </w:p>
    <w:p w14:paraId="301BE937" w14:textId="77777777" w:rsidR="00467687" w:rsidRPr="00B3610F" w:rsidRDefault="00467687" w:rsidP="00467687">
      <w:pPr>
        <w:pStyle w:val="Navadensplet"/>
        <w:spacing w:line="260" w:lineRule="exact"/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126744">
        <w:rPr>
          <w:rFonts w:ascii="Arial" w:hAnsi="Arial" w:cs="Arial"/>
          <w:color w:val="000000"/>
          <w:sz w:val="20"/>
          <w:szCs w:val="20"/>
          <w:u w:val="single"/>
        </w:rPr>
        <w:t>Pod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3.</w:t>
      </w:r>
      <w:r w:rsidRPr="00126744">
        <w:rPr>
          <w:rFonts w:ascii="Arial" w:hAnsi="Arial" w:cs="Arial"/>
          <w:color w:val="000000"/>
          <w:sz w:val="20"/>
          <w:szCs w:val="20"/>
          <w:u w:val="single"/>
        </w:rPr>
        <w:t xml:space="preserve"> točko</w:t>
      </w:r>
      <w:r w:rsidRPr="000B5EB9">
        <w:rPr>
          <w:rFonts w:ascii="Arial" w:hAnsi="Arial" w:cs="Arial"/>
          <w:color w:val="000000"/>
          <w:sz w:val="20"/>
          <w:szCs w:val="20"/>
        </w:rPr>
        <w:t xml:space="preserve"> se vpisuje katerikoli drug ugovorni razlog, ki ni naveden predhodno, kot npr. uveljavljanje ugodnosti iz mednarodne pogodbe o izogibanju dvojnega obdavčevanja (tj. oprostitev plačila davka)</w:t>
      </w:r>
      <w:r>
        <w:rPr>
          <w:rFonts w:ascii="Arial" w:hAnsi="Arial" w:cs="Arial"/>
          <w:color w:val="000000"/>
          <w:sz w:val="20"/>
          <w:szCs w:val="20"/>
        </w:rPr>
        <w:t xml:space="preserve"> s strani nerezidenta</w:t>
      </w:r>
      <w:r w:rsidRPr="000B5EB9">
        <w:rPr>
          <w:rFonts w:ascii="Arial" w:hAnsi="Arial" w:cs="Arial"/>
          <w:color w:val="000000"/>
          <w:sz w:val="20"/>
          <w:szCs w:val="20"/>
        </w:rPr>
        <w:t>, če je po mednarodni pogodbi, ki je sklenjena med Slovenijo in državo rezidentstva prejemnika dohodka, dana pravica do obdavčitve le državi rezidentstva prejemnika dohodka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B3610F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(primeri ko je</w:t>
      </w:r>
      <w:r w:rsidRPr="004B0414">
        <w:rPr>
          <w:rFonts w:ascii="Arial" w:hAnsi="Arial" w:cs="Arial"/>
          <w:color w:val="000000"/>
          <w:sz w:val="20"/>
          <w:szCs w:val="20"/>
        </w:rPr>
        <w:t xml:space="preserve"> dohodek v naravi v obliki delnic ali deležev v družbi izplačan v povezavi z zaposlitvijo nerezidenta, ki se </w:t>
      </w:r>
      <w:r w:rsidRPr="00FC17C2">
        <w:rPr>
          <w:rFonts w:ascii="Arial" w:hAnsi="Arial" w:cs="Arial"/>
          <w:color w:val="000000"/>
          <w:sz w:val="20"/>
          <w:szCs w:val="20"/>
        </w:rPr>
        <w:t xml:space="preserve">je </w:t>
      </w:r>
      <w:r>
        <w:rPr>
          <w:rFonts w:ascii="Arial" w:hAnsi="Arial" w:cs="Arial"/>
          <w:color w:val="000000"/>
          <w:sz w:val="20"/>
          <w:szCs w:val="20"/>
        </w:rPr>
        <w:t xml:space="preserve">v relevantnem obdobju </w:t>
      </w:r>
      <w:r w:rsidRPr="00B3610F">
        <w:rPr>
          <w:rFonts w:ascii="Arial" w:hAnsi="Arial" w:cs="Arial"/>
          <w:color w:val="000000"/>
          <w:sz w:val="20"/>
          <w:szCs w:val="20"/>
        </w:rPr>
        <w:t>»fizično« izvajala samo v drugi državi</w:t>
      </w:r>
      <w:r w:rsidRPr="00FC17C2">
        <w:rPr>
          <w:rFonts w:ascii="Arial" w:hAnsi="Arial" w:cs="Arial"/>
          <w:color w:val="000000"/>
          <w:sz w:val="20"/>
          <w:szCs w:val="20"/>
        </w:rPr>
        <w:t>,</w:t>
      </w:r>
      <w:r w:rsidRPr="004B0414">
        <w:rPr>
          <w:rFonts w:ascii="Arial" w:hAnsi="Arial" w:cs="Arial"/>
          <w:color w:val="000000"/>
          <w:sz w:val="20"/>
          <w:szCs w:val="20"/>
        </w:rPr>
        <w:t xml:space="preserve"> kar pomeni, da je rezident druge države pogodbenice opravljal delo za slovensko podjetje na ozemlju druge države (in ne v Sloveniji). </w:t>
      </w:r>
    </w:p>
    <w:bookmarkEnd w:id="0"/>
    <w:p w14:paraId="39CEB5A1" w14:textId="77777777" w:rsidR="00467687" w:rsidRDefault="00467687" w:rsidP="00467687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B3610F">
        <w:rPr>
          <w:rFonts w:ascii="Arial" w:hAnsi="Arial" w:cs="Arial"/>
          <w:color w:val="000000"/>
          <w:sz w:val="20"/>
          <w:szCs w:val="20"/>
          <w:u w:val="single"/>
        </w:rPr>
        <w:t xml:space="preserve">Ugovoru mora davčni zavezanec priložiti ustrezna relevantna dokazila glede na podane navedbe. </w:t>
      </w:r>
    </w:p>
    <w:p w14:paraId="4A1AA260" w14:textId="77777777" w:rsidR="00467687" w:rsidRPr="000B5EB9" w:rsidRDefault="00467687" w:rsidP="00467687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B5EB9">
        <w:rPr>
          <w:rFonts w:ascii="Arial" w:hAnsi="Arial" w:cs="Arial"/>
          <w:color w:val="000000"/>
          <w:sz w:val="20"/>
          <w:szCs w:val="20"/>
        </w:rPr>
        <w:lastRenderedPageBreak/>
        <w:t xml:space="preserve">Podrobnejši opis o informativnem izračunu akontacije dohodnine je dostopen v </w:t>
      </w:r>
      <w:r w:rsidRPr="00B403FD">
        <w:rPr>
          <w:rFonts w:ascii="Arial" w:hAnsi="Arial" w:cs="Arial"/>
          <w:color w:val="000000"/>
          <w:sz w:val="20"/>
          <w:szCs w:val="20"/>
        </w:rPr>
        <w:t>dokumentu »Informativni izračun akontacije dohodnine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Pr="00B403FD">
        <w:rPr>
          <w:rFonts w:ascii="Arial" w:hAnsi="Arial" w:cs="Arial"/>
          <w:color w:val="000000"/>
          <w:sz w:val="20"/>
          <w:szCs w:val="20"/>
        </w:rPr>
        <w:t xml:space="preserve"> na spletni strani </w:t>
      </w:r>
      <w:hyperlink r:id="rId5" w:history="1">
        <w:r w:rsidRPr="00577A60">
          <w:rPr>
            <w:rStyle w:val="Hiperpovezava"/>
            <w:rFonts w:ascii="Arial" w:eastAsiaTheme="majorEastAsia" w:hAnsi="Arial" w:cs="Arial"/>
            <w:sz w:val="20"/>
            <w:szCs w:val="20"/>
          </w:rPr>
          <w:t>FURS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7AD42240" w14:textId="77777777" w:rsidR="00467687" w:rsidRPr="00B3610F" w:rsidRDefault="00467687" w:rsidP="00467687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732E83D" w14:textId="77777777" w:rsidR="00467687" w:rsidRPr="000B5EB9" w:rsidRDefault="00467687" w:rsidP="00467687">
      <w:pPr>
        <w:spacing w:line="260" w:lineRule="exact"/>
        <w:jc w:val="both"/>
        <w:rPr>
          <w:rFonts w:ascii="Arial" w:hAnsi="Arial" w:cs="Arial"/>
        </w:rPr>
      </w:pPr>
    </w:p>
    <w:p w14:paraId="35E83338" w14:textId="77777777" w:rsidR="00673F72" w:rsidRDefault="00673F72"/>
    <w:sectPr w:rsidR="0067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rinda">
    <w:altName w:val="Courier New"/>
    <w:panose1 w:val="00000400000000000000"/>
    <w:charset w:val="01"/>
    <w:family w:val="roman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5B5"/>
    <w:multiLevelType w:val="hybridMultilevel"/>
    <w:tmpl w:val="FE60575A"/>
    <w:lvl w:ilvl="0" w:tplc="D7F202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5FE9"/>
    <w:multiLevelType w:val="hybridMultilevel"/>
    <w:tmpl w:val="125A753C"/>
    <w:lvl w:ilvl="0" w:tplc="B4C0B3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87"/>
    <w:rsid w:val="000A6750"/>
    <w:rsid w:val="00467687"/>
    <w:rsid w:val="00673F72"/>
    <w:rsid w:val="00757CC6"/>
    <w:rsid w:val="008751CF"/>
    <w:rsid w:val="008F6364"/>
    <w:rsid w:val="009D241F"/>
    <w:rsid w:val="00A030BE"/>
    <w:rsid w:val="00A77E90"/>
    <w:rsid w:val="00E41F3E"/>
    <w:rsid w:val="00E7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A341"/>
  <w15:chartTrackingRefBased/>
  <w15:docId w15:val="{A5219DFA-D418-40BF-A471-B38E335E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7687"/>
  </w:style>
  <w:style w:type="paragraph" w:styleId="Naslov1">
    <w:name w:val="heading 1"/>
    <w:basedOn w:val="Navaden"/>
    <w:next w:val="Navaden"/>
    <w:link w:val="Naslov1Znak"/>
    <w:uiPriority w:val="9"/>
    <w:qFormat/>
    <w:rsid w:val="00467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6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67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67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67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67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67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67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67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7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67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67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676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6768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676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6768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676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676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67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6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67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67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6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6768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6768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6768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67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6768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67687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46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467687"/>
    <w:rPr>
      <w:color w:val="467886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76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u.gov.si/davki_in_druge_dajatve/podrocja/dohodnina/dohodnina_dohodek_iz_zaposlit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</dc:creator>
  <cp:keywords/>
  <dc:description/>
  <cp:lastModifiedBy>Gorazd B</cp:lastModifiedBy>
  <cp:revision>2</cp:revision>
  <dcterms:created xsi:type="dcterms:W3CDTF">2025-05-30T09:28:00Z</dcterms:created>
  <dcterms:modified xsi:type="dcterms:W3CDTF">2025-06-06T07:03:00Z</dcterms:modified>
</cp:coreProperties>
</file>